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ind w:left="0" w:right="0" w:hanging="0"/>
        <w:jc w:val="center"/>
        <w:rPr>
          <w:caps w:val="false"/>
          <w:smallCaps w:val="false"/>
        </w:rPr>
      </w:pPr>
      <w:bookmarkStart w:id="0" w:name="v391391_6k.htm"/>
      <w:bookmarkStart w:id="1" w:name="ksv391391_6k"/>
      <w:bookmarkEnd w:id="0"/>
      <w:bookmarkEnd w:id="1"/>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UNITED STATES</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FORM 6-K</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REPORT OF FOREIGN PRIVATE ISSUER</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RULE 13a-16 OR 15d-16 UNDER THE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EXCHANGE ACT OF 1934</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Short Form of Press Release</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(Exact name of Registrant as specified in its Charter)</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FOREIGN TRADE BANK OF LATIN AMERICA, INC.</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(Translation of Registrant’s name into English)</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Ave. La Rotonda, Costa del Este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P.O. Box 0819-08730</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Republic of Panama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(Address of Registrant’s Principal Executive Offices)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files or will file annual reports under cover of Form 20-F or Form 40-F.)</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Form 20-F </w:t>
      </w:r>
      <w:r>
        <w:rPr>
          <w:rFonts w:ascii="Wingdings" w:hAnsi="Wingdings"/>
          <w:b w:val="false"/>
          <w:i w:val="false"/>
          <w:caps w:val="false"/>
          <w:smallCaps w:val="false"/>
          <w:sz w:val="20"/>
        </w:rPr>
        <w:t>x</w:t>
      </w:r>
      <w:r>
        <w:rPr>
          <w:rFonts w:ascii="Times New Roman;Times;Serif" w:hAnsi="Times New Roman;Times;Serif"/>
          <w:b w:val="false"/>
          <w:i w:val="false"/>
          <w:caps w:val="false"/>
          <w:smallCaps w:val="false"/>
          <w:sz w:val="20"/>
        </w:rPr>
        <w:t>    Form 40-F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by furnishing the information contained in this Form is also thereby furnishing information to the Commission pursuant to Rule 12g-3-2(b) under the Securities Exchange Act of 1934.)</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“Yes” is marked, indicate below the file number assigned to the registrant in connection with Rule 12g3-2(b). 82__.)</w:t>
      </w:r>
    </w:p>
    <w:p>
      <w:pPr>
        <w:pStyle w:val="TextBody"/>
        <w:spacing w:before="0" w:after="0"/>
        <w:ind w:left="0" w:right="0" w:hanging="0"/>
        <w:jc w:val="both"/>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SIGNATURES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thereto duly authorized.</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October 15, 2014.</w:t>
      </w:r>
    </w:p>
    <w:p>
      <w:pPr>
        <w:pStyle w:val="TextBody"/>
        <w:spacing w:before="0" w:after="0"/>
        <w:ind w:left="0" w:right="0" w:hanging="0"/>
        <w:jc w:val="both"/>
        <w:rPr>
          <w:caps w:val="false"/>
          <w:smallCaps w:val="false"/>
        </w:rPr>
      </w:pPr>
      <w:r>
        <w:rPr>
          <w:caps w:val="false"/>
          <w:smallCaps w:val="false"/>
        </w:rPr>
        <w:t> </w:t>
      </w:r>
    </w:p>
    <w:tbl>
      <w:tblPr>
        <w:tblW w:w="5779" w:type="dxa"/>
        <w:jc w:val="left"/>
        <w:tblInd w:w="0" w:type="dxa"/>
        <w:tblCellMar>
          <w:top w:w="0" w:type="dxa"/>
          <w:left w:w="0" w:type="dxa"/>
          <w:bottom w:w="0" w:type="dxa"/>
          <w:right w:w="0" w:type="dxa"/>
        </w:tblCellMar>
      </w:tblPr>
      <w:tblGrid>
        <w:gridCol w:w="75"/>
        <w:gridCol w:w="191"/>
        <w:gridCol w:w="5513"/>
      </w:tblGrid>
      <w:tr>
        <w:trPr/>
        <w:tc>
          <w:tcPr>
            <w:tcW w:w="75" w:type="dxa"/>
            <w:tcBorders/>
            <w:shd w:fill="auto" w:val="clear"/>
            <w:vAlign w:val="center"/>
          </w:tcPr>
          <w:p>
            <w:pPr>
              <w:pStyle w:val="TableContents"/>
              <w:spacing w:before="0" w:after="283"/>
              <w:rPr/>
            </w:pPr>
            <w:r>
              <w:rPr/>
              <w:t> </w:t>
            </w:r>
          </w:p>
        </w:tc>
        <w:tc>
          <w:tcPr>
            <w:tcW w:w="5704" w:type="dxa"/>
            <w:gridSpan w:val="2"/>
            <w:tcBorders/>
            <w:shd w:fill="auto" w:val="clear"/>
            <w:vAlign w:val="center"/>
          </w:tcPr>
          <w:p>
            <w:pPr>
              <w:pStyle w:val="TableContents"/>
              <w:spacing w:before="0" w:after="283"/>
              <w:rPr/>
            </w:pPr>
            <w:r>
              <w:rPr/>
              <w:t>FOREIGN TRADE BANK OF LATIN AMERICA, INC.</w:t>
            </w:r>
          </w:p>
        </w:tc>
      </w:tr>
      <w:tr>
        <w:trPr/>
        <w:tc>
          <w:tcPr>
            <w:tcW w:w="75" w:type="dxa"/>
            <w:tcBorders/>
            <w:shd w:fill="auto" w:val="clear"/>
            <w:vAlign w:val="center"/>
          </w:tcPr>
          <w:p>
            <w:pPr>
              <w:pStyle w:val="TableContents"/>
              <w:spacing w:before="0" w:after="283"/>
              <w:rPr/>
            </w:pPr>
            <w:r>
              <w:rPr/>
              <w:t> </w:t>
            </w:r>
          </w:p>
        </w:tc>
        <w:tc>
          <w:tcPr>
            <w:tcW w:w="191" w:type="dxa"/>
            <w:tcBorders/>
            <w:shd w:fill="auto" w:val="clear"/>
            <w:vAlign w:val="center"/>
          </w:tcPr>
          <w:p>
            <w:pPr>
              <w:pStyle w:val="TableContents"/>
              <w:spacing w:before="0" w:after="283"/>
              <w:rPr/>
            </w:pPr>
            <w:r>
              <w:rPr/>
              <w:t> </w:t>
            </w:r>
          </w:p>
        </w:tc>
        <w:tc>
          <w:tcPr>
            <w:tcW w:w="5513" w:type="dxa"/>
            <w:tcBorders/>
            <w:shd w:fill="auto" w:val="clear"/>
            <w:vAlign w:val="center"/>
          </w:tcPr>
          <w:p>
            <w:pPr>
              <w:pStyle w:val="TableContents"/>
              <w:spacing w:before="0" w:after="283"/>
              <w:rPr/>
            </w:pPr>
            <w:r>
              <w:rPr/>
              <w:t> </w:t>
            </w:r>
          </w:p>
        </w:tc>
      </w:tr>
      <w:tr>
        <w:trPr/>
        <w:tc>
          <w:tcPr>
            <w:tcW w:w="75" w:type="dxa"/>
            <w:tcBorders/>
            <w:shd w:fill="auto" w:val="clear"/>
            <w:vAlign w:val="center"/>
          </w:tcPr>
          <w:p>
            <w:pPr>
              <w:pStyle w:val="TableContents"/>
              <w:spacing w:before="0" w:after="283"/>
              <w:rPr/>
            </w:pPr>
            <w:r>
              <w:rPr/>
              <w:t> </w:t>
            </w:r>
          </w:p>
        </w:tc>
        <w:tc>
          <w:tcPr>
            <w:tcW w:w="191" w:type="dxa"/>
            <w:tcBorders/>
            <w:shd w:fill="auto" w:val="clear"/>
            <w:vAlign w:val="center"/>
          </w:tcPr>
          <w:p>
            <w:pPr>
              <w:pStyle w:val="TableContents"/>
              <w:spacing w:before="0" w:after="283"/>
              <w:rPr/>
            </w:pPr>
            <w:r>
              <w:rPr/>
              <w:t> </w:t>
            </w:r>
          </w:p>
        </w:tc>
        <w:tc>
          <w:tcPr>
            <w:tcW w:w="5513" w:type="dxa"/>
            <w:tcBorders/>
            <w:shd w:fill="auto" w:val="clear"/>
            <w:vAlign w:val="center"/>
          </w:tcPr>
          <w:p>
            <w:pPr>
              <w:pStyle w:val="TableContents"/>
              <w:spacing w:before="0" w:after="283"/>
              <w:rPr>
                <w:sz w:val="17"/>
              </w:rPr>
            </w:pPr>
            <w:r>
              <w:rPr>
                <w:sz w:val="17"/>
              </w:rPr>
              <w:t>By: /s/ Pedro Toll</w:t>
            </w:r>
          </w:p>
        </w:tc>
      </w:tr>
      <w:tr>
        <w:trPr/>
        <w:tc>
          <w:tcPr>
            <w:tcW w:w="75" w:type="dxa"/>
            <w:tcBorders/>
            <w:shd w:fill="auto" w:val="clear"/>
            <w:vAlign w:val="center"/>
          </w:tcPr>
          <w:p>
            <w:pPr>
              <w:pStyle w:val="TableContents"/>
              <w:spacing w:before="0" w:after="283"/>
              <w:rPr/>
            </w:pPr>
            <w:r>
              <w:rPr/>
              <w:t> </w:t>
            </w:r>
          </w:p>
        </w:tc>
        <w:tc>
          <w:tcPr>
            <w:tcW w:w="191" w:type="dxa"/>
            <w:tcBorders/>
            <w:shd w:fill="auto" w:val="clear"/>
            <w:vAlign w:val="center"/>
          </w:tcPr>
          <w:p>
            <w:pPr>
              <w:pStyle w:val="TableContents"/>
              <w:spacing w:before="0" w:after="283"/>
              <w:rPr/>
            </w:pPr>
            <w:r>
              <w:rPr/>
              <w:t> </w:t>
            </w:r>
          </w:p>
        </w:tc>
        <w:tc>
          <w:tcPr>
            <w:tcW w:w="5513" w:type="dxa"/>
            <w:tcBorders/>
            <w:shd w:fill="auto" w:val="clear"/>
            <w:vAlign w:val="center"/>
          </w:tcPr>
          <w:p>
            <w:pPr>
              <w:pStyle w:val="TableContents"/>
              <w:spacing w:before="0" w:after="283"/>
              <w:rPr/>
            </w:pPr>
            <w:r>
              <w:rPr/>
              <w:t> </w:t>
            </w:r>
          </w:p>
        </w:tc>
      </w:tr>
      <w:tr>
        <w:trPr/>
        <w:tc>
          <w:tcPr>
            <w:tcW w:w="75" w:type="dxa"/>
            <w:tcBorders/>
            <w:shd w:fill="auto" w:val="clear"/>
            <w:vAlign w:val="center"/>
          </w:tcPr>
          <w:p>
            <w:pPr>
              <w:pStyle w:val="TableContents"/>
              <w:spacing w:before="0" w:after="283"/>
              <w:rPr/>
            </w:pPr>
            <w:r>
              <w:rPr/>
              <w:t> </w:t>
            </w:r>
          </w:p>
        </w:tc>
        <w:tc>
          <w:tcPr>
            <w:tcW w:w="191" w:type="dxa"/>
            <w:tcBorders/>
            <w:shd w:fill="auto" w:val="clear"/>
            <w:vAlign w:val="center"/>
          </w:tcPr>
          <w:p>
            <w:pPr>
              <w:pStyle w:val="TableContents"/>
              <w:spacing w:before="0" w:after="283"/>
              <w:rPr/>
            </w:pPr>
            <w:r>
              <w:rPr/>
              <w:t> </w:t>
            </w:r>
          </w:p>
        </w:tc>
        <w:tc>
          <w:tcPr>
            <w:tcW w:w="5513" w:type="dxa"/>
            <w:tcBorders/>
            <w:shd w:fill="auto" w:val="clear"/>
            <w:vAlign w:val="center"/>
          </w:tcPr>
          <w:p>
            <w:pPr>
              <w:pStyle w:val="TableContents"/>
              <w:spacing w:before="0" w:after="283"/>
              <w:rPr>
                <w:sz w:val="17"/>
              </w:rPr>
            </w:pPr>
            <w:r>
              <w:rPr>
                <w:sz w:val="17"/>
              </w:rPr>
              <w:t>Name: Pedro Toll</w:t>
            </w:r>
          </w:p>
        </w:tc>
      </w:tr>
      <w:tr>
        <w:trPr/>
        <w:tc>
          <w:tcPr>
            <w:tcW w:w="75" w:type="dxa"/>
            <w:tcBorders/>
            <w:shd w:fill="auto" w:val="clear"/>
            <w:vAlign w:val="center"/>
          </w:tcPr>
          <w:p>
            <w:pPr>
              <w:pStyle w:val="TableContents"/>
              <w:spacing w:before="0" w:after="283"/>
              <w:rPr/>
            </w:pPr>
            <w:r>
              <w:rPr/>
              <w:t> </w:t>
            </w:r>
          </w:p>
        </w:tc>
        <w:tc>
          <w:tcPr>
            <w:tcW w:w="191" w:type="dxa"/>
            <w:tcBorders/>
            <w:shd w:fill="auto" w:val="clear"/>
            <w:vAlign w:val="center"/>
          </w:tcPr>
          <w:p>
            <w:pPr>
              <w:pStyle w:val="TableContents"/>
              <w:spacing w:before="0" w:after="283"/>
              <w:rPr/>
            </w:pPr>
            <w:r>
              <w:rPr/>
              <w:t> </w:t>
            </w:r>
          </w:p>
        </w:tc>
        <w:tc>
          <w:tcPr>
            <w:tcW w:w="5513" w:type="dxa"/>
            <w:tcBorders/>
            <w:shd w:fill="auto" w:val="clear"/>
            <w:vAlign w:val="center"/>
          </w:tcPr>
          <w:p>
            <w:pPr>
              <w:pStyle w:val="TableContents"/>
              <w:spacing w:before="0" w:after="283"/>
              <w:rPr>
                <w:sz w:val="17"/>
              </w:rPr>
            </w:pPr>
            <w:r>
              <w:rPr>
                <w:sz w:val="17"/>
              </w:rPr>
              <w:t>Title:   General Manager</w:t>
            </w:r>
          </w:p>
        </w:tc>
      </w:tr>
    </w:tbl>
    <w:p>
      <w:pPr>
        <w:pStyle w:val="TextBody"/>
        <w:spacing w:before="0" w:after="0"/>
        <w:ind w:left="0" w:right="0" w:hanging="0"/>
        <w:jc w:val="right"/>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r>
        <w:br w:type="page"/>
      </w:r>
    </w:p>
    <w:p>
      <w:pPr>
        <w:pStyle w:val="TextBody"/>
        <w:spacing w:before="0" w:after="0"/>
        <w:ind w:left="0" w:right="0" w:hanging="0"/>
        <w:jc w:val="right"/>
        <w:rPr>
          <w:rFonts w:ascii="Times New Roman;Times;Serif" w:hAnsi="Times New Roman;Times;Serif"/>
          <w:b/>
          <w:i w:val="false"/>
          <w:caps w:val="false"/>
          <w:smallCaps w:val="false"/>
          <w:sz w:val="20"/>
        </w:rPr>
      </w:pPr>
      <w:bookmarkStart w:id="2" w:name="v391391_ex99-1.htm"/>
      <w:bookmarkStart w:id="3" w:name="ksv391391_ex991"/>
      <w:bookmarkEnd w:id="2"/>
      <w:bookmarkEnd w:id="3"/>
      <w:r>
        <w:rPr>
          <w:rFonts w:ascii="Times New Roman;Times;Serif" w:hAnsi="Times New Roman;Times;Serif"/>
          <w:b/>
          <w:i w:val="false"/>
          <w:caps w:val="false"/>
          <w:smallCaps w:val="false"/>
          <w:sz w:val="20"/>
        </w:rPr>
        <w:t>Exhibit 99.1</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drawing>
          <wp:inline distT="0" distB="0" distL="0" distR="0">
            <wp:extent cx="1485900" cy="4857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485900" cy="485775"/>
                    </a:xfrm>
                    <a:prstGeom prst="rect">
                      <a:avLst/>
                    </a:prstGeom>
                  </pic:spPr>
                </pic:pic>
              </a:graphicData>
            </a:graphic>
          </wp:inline>
        </w:drawing>
      </w:r>
    </w:p>
    <w:p>
      <w:pPr>
        <w:pStyle w:val="TextBody"/>
        <w:spacing w:before="0" w:after="0"/>
        <w:ind w:left="0" w:right="0" w:hanging="0"/>
        <w:jc w:val="center"/>
        <w:rPr>
          <w:caps w:val="false"/>
          <w:smallCaps w:val="false"/>
          <w:color w:val="FF0000"/>
        </w:rPr>
      </w:pPr>
      <w:r>
        <w:rPr>
          <w:caps w:val="false"/>
          <w:smallCaps w:val="false"/>
          <w:color w:val="FF0000"/>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BLADEX THIRD QUARTER 2014 NET INCOME INCREASED 29% QoQ, AND 17% YoY, TO $26.6 MILLION, OR $0.69 PER SHARE.</w:t>
        <w:br/>
        <w:t>YEAR-TO-DATE 2014 NET INCOME TOTALED $70.8 MILLION (+16% YoY).</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PANAMA CITY, REPUBLIC OF PANAMA, October 15, 2014</w:t>
      </w:r>
      <w:r>
        <w:rPr>
          <w:rFonts w:ascii="Times New Roman;Times;Serif" w:hAnsi="Times New Roman;Times;Serif"/>
          <w:b w:val="false"/>
          <w:i w:val="false"/>
          <w:caps w:val="false"/>
          <w:smallCaps w:val="false"/>
          <w:sz w:val="20"/>
        </w:rPr>
        <w:t xml:space="preserve"> – Banco Latinoamericano de Comercio Exterior, S.A. (NYSE: BLX, “Bladex”, or “the Bank”), a Panama-based supranational bank established by the central banks of 23 Latin-American and Caribbean countries to promote foreign trade finance and economic integration in the Region, today announced its results for the third quarter and the first nine months ended September 30, 2014.</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Third Quarter and Nine Months 2014 Highlights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Reported results:</w:t>
      </w:r>
    </w:p>
    <w:p>
      <w:pPr>
        <w:pStyle w:val="TextBody"/>
        <w:spacing w:before="0" w:after="0"/>
        <w:ind w:left="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125"/>
        <w:gridCol w:w="10043"/>
      </w:tblGrid>
      <w:tr>
        <w:trPr/>
        <w:tc>
          <w:tcPr>
            <w:tcW w:w="37"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center"/>
          </w:tcPr>
          <w:p>
            <w:pPr>
              <w:pStyle w:val="TableContents"/>
              <w:spacing w:before="0" w:after="283"/>
              <w:rPr>
                <w:rFonts w:ascii="Symbol" w:hAnsi="Symbol"/>
              </w:rPr>
            </w:pPr>
            <w:r>
              <w:rPr>
                <w:rFonts w:ascii="Symbol" w:hAnsi="Symbol"/>
              </w:rPr>
              <w:t>·</w:t>
            </w:r>
          </w:p>
        </w:tc>
        <w:tc>
          <w:tcPr>
            <w:tcW w:w="10043"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rPr>
              <w:t>Bladex’s third quarter 2014 Net Income reached $26.6 million (+29% QoQ; +17% YoY). The Bank’s first 9M14 Net Income totaled $70.8 million (+16% YoY) mainly on higher net interest income, fees and commissions and improved efficiency.</w:t>
            </w:r>
          </w:p>
        </w:tc>
      </w:tr>
    </w:tbl>
    <w:tbl>
      <w:tblPr>
        <w:tblW w:w="5000" w:type="pct"/>
        <w:jc w:val="left"/>
        <w:tblInd w:w="0" w:type="dxa"/>
        <w:tblCellMar>
          <w:top w:w="0" w:type="dxa"/>
          <w:left w:w="0" w:type="dxa"/>
          <w:bottom w:w="0" w:type="dxa"/>
          <w:right w:w="0" w:type="dxa"/>
        </w:tblCellMar>
      </w:tblPr>
      <w:tblGrid>
        <w:gridCol w:w="37"/>
        <w:gridCol w:w="125"/>
        <w:gridCol w:w="10043"/>
      </w:tblGrid>
      <w:tr>
        <w:trPr/>
        <w:tc>
          <w:tcPr>
            <w:tcW w:w="37"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center"/>
          </w:tcPr>
          <w:p>
            <w:pPr>
              <w:pStyle w:val="TableContents"/>
              <w:spacing w:before="0" w:after="283"/>
              <w:rPr>
                <w:rFonts w:ascii="Symbol" w:hAnsi="Symbol"/>
              </w:rPr>
            </w:pPr>
            <w:r>
              <w:rPr>
                <w:rFonts w:ascii="Symbol" w:hAnsi="Symbol"/>
              </w:rPr>
              <w:t>·</w:t>
            </w:r>
          </w:p>
        </w:tc>
        <w:tc>
          <w:tcPr>
            <w:tcW w:w="10043"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rPr>
              <w:t xml:space="preserve">Net interest income totaled $36.8 million in 3Q14 (+9% QoQ; +1% YoY) and $102.8 million for 9M14 (+$10.8 million, or +12% YoY) on higher average portfolio growth, higher margins and spreads, and lower average funding costs. </w:t>
            </w:r>
          </w:p>
        </w:tc>
      </w:tr>
    </w:tbl>
    <w:tbl>
      <w:tblPr>
        <w:tblW w:w="5000" w:type="pct"/>
        <w:jc w:val="left"/>
        <w:tblInd w:w="0" w:type="dxa"/>
        <w:tblCellMar>
          <w:top w:w="0" w:type="dxa"/>
          <w:left w:w="0" w:type="dxa"/>
          <w:bottom w:w="0" w:type="dxa"/>
          <w:right w:w="0" w:type="dxa"/>
        </w:tblCellMar>
      </w:tblPr>
      <w:tblGrid>
        <w:gridCol w:w="37"/>
        <w:gridCol w:w="125"/>
        <w:gridCol w:w="10043"/>
      </w:tblGrid>
      <w:tr>
        <w:trPr/>
        <w:tc>
          <w:tcPr>
            <w:tcW w:w="37"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center"/>
          </w:tcPr>
          <w:p>
            <w:pPr>
              <w:pStyle w:val="TableContents"/>
              <w:spacing w:before="0" w:after="283"/>
              <w:rPr>
                <w:rFonts w:ascii="Symbol" w:hAnsi="Symbol"/>
              </w:rPr>
            </w:pPr>
            <w:r>
              <w:rPr>
                <w:rFonts w:ascii="Symbol" w:hAnsi="Symbol"/>
              </w:rPr>
              <w:t>·</w:t>
            </w:r>
          </w:p>
        </w:tc>
        <w:tc>
          <w:tcPr>
            <w:tcW w:w="10043"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rPr>
              <w:t xml:space="preserve">Fees and commissions amounted to $4.1 million in 3Q14 (+10% YoY; -2% QoQ), to reach $12.6 million for 9M14 (+$3.6 million, +40% YoY). </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Key performance metrics:</w:t>
      </w:r>
    </w:p>
    <w:p>
      <w:pPr>
        <w:pStyle w:val="TextBody"/>
        <w:spacing w:before="0" w:after="0"/>
        <w:ind w:left="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125"/>
        <w:gridCol w:w="10043"/>
      </w:tblGrid>
      <w:tr>
        <w:trPr/>
        <w:tc>
          <w:tcPr>
            <w:tcW w:w="37"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center"/>
          </w:tcPr>
          <w:p>
            <w:pPr>
              <w:pStyle w:val="TableContents"/>
              <w:spacing w:before="0" w:after="283"/>
              <w:rPr>
                <w:rFonts w:ascii="Symbol" w:hAnsi="Symbol"/>
              </w:rPr>
            </w:pPr>
            <w:r>
              <w:rPr>
                <w:rFonts w:ascii="Symbol" w:hAnsi="Symbol"/>
              </w:rPr>
              <w:t>·</w:t>
            </w:r>
          </w:p>
        </w:tc>
        <w:tc>
          <w:tcPr>
            <w:tcW w:w="10043" w:type="dxa"/>
            <w:tcBorders/>
            <w:shd w:fill="auto" w:val="clear"/>
            <w:vAlign w:val="center"/>
          </w:tcPr>
          <w:p>
            <w:pPr>
              <w:pStyle w:val="TableContents"/>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Net interest margin reached 1.93% in 3Q14 (+9 bps QoQ; -3 bps YoY), and 1.85% in the first 9M14 (+8 bps YoY), while net interest spread improved to 1.77% (+10 bps QoQ; -1 bps YoY) and 1.69% (+12 bps YoY), respectively.</w:t>
            </w:r>
          </w:p>
        </w:tc>
      </w:tr>
    </w:tbl>
    <w:tbl>
      <w:tblPr>
        <w:tblW w:w="5000" w:type="pct"/>
        <w:jc w:val="left"/>
        <w:tblInd w:w="0" w:type="dxa"/>
        <w:tblCellMar>
          <w:top w:w="0" w:type="dxa"/>
          <w:left w:w="0" w:type="dxa"/>
          <w:bottom w:w="0" w:type="dxa"/>
          <w:right w:w="0" w:type="dxa"/>
        </w:tblCellMar>
      </w:tblPr>
      <w:tblGrid>
        <w:gridCol w:w="37"/>
        <w:gridCol w:w="125"/>
        <w:gridCol w:w="10043"/>
      </w:tblGrid>
      <w:tr>
        <w:trPr/>
        <w:tc>
          <w:tcPr>
            <w:tcW w:w="37"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center"/>
          </w:tcPr>
          <w:p>
            <w:pPr>
              <w:pStyle w:val="TableContents"/>
              <w:spacing w:before="0" w:after="283"/>
              <w:rPr>
                <w:rFonts w:ascii="Symbol" w:hAnsi="Symbol"/>
              </w:rPr>
            </w:pPr>
            <w:r>
              <w:rPr>
                <w:rFonts w:ascii="Symbol" w:hAnsi="Symbol"/>
              </w:rPr>
              <w:t>·</w:t>
            </w:r>
          </w:p>
        </w:tc>
        <w:tc>
          <w:tcPr>
            <w:tcW w:w="10043"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rPr>
              <w:t>3Q14 annualized return on average equity (“ROAE”) reached 11.7% versus 9.3% in 2Q14 and 10.7% in the 3Q13, while 9M14 ROAE stood at 10.7% versus 9.7% in 9M13.</w:t>
            </w:r>
          </w:p>
        </w:tc>
      </w:tr>
    </w:tbl>
    <w:tbl>
      <w:tblPr>
        <w:tblW w:w="5000" w:type="pct"/>
        <w:jc w:val="left"/>
        <w:tblInd w:w="0" w:type="dxa"/>
        <w:tblCellMar>
          <w:top w:w="0" w:type="dxa"/>
          <w:left w:w="0" w:type="dxa"/>
          <w:bottom w:w="0" w:type="dxa"/>
          <w:right w:w="0" w:type="dxa"/>
        </w:tblCellMar>
      </w:tblPr>
      <w:tblGrid>
        <w:gridCol w:w="37"/>
        <w:gridCol w:w="125"/>
        <w:gridCol w:w="10043"/>
      </w:tblGrid>
      <w:tr>
        <w:trPr/>
        <w:tc>
          <w:tcPr>
            <w:tcW w:w="37"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center"/>
          </w:tcPr>
          <w:p>
            <w:pPr>
              <w:pStyle w:val="TableContents"/>
              <w:spacing w:before="0" w:after="283"/>
              <w:rPr>
                <w:rFonts w:ascii="Symbol" w:hAnsi="Symbol"/>
              </w:rPr>
            </w:pPr>
            <w:r>
              <w:rPr>
                <w:rFonts w:ascii="Symbol" w:hAnsi="Symbol"/>
              </w:rPr>
              <w:t>·</w:t>
            </w:r>
          </w:p>
        </w:tc>
        <w:tc>
          <w:tcPr>
            <w:tcW w:w="10043"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rPr>
              <w:t>The Business Efficiency Ratio improved to 30% in 3Q14 (-3 pts. QoQ; -4 pts. YoY), and to 33% for the first 9M14 (-5 pts. YoY).</w:t>
            </w:r>
          </w:p>
        </w:tc>
      </w:tr>
    </w:tbl>
    <w:p>
      <w:pPr>
        <w:pStyle w:val="TextBody"/>
        <w:spacing w:before="0" w:after="0"/>
        <w:ind w:left="0" w:right="0" w:hanging="0"/>
        <w:jc w:val="both"/>
        <w:rPr>
          <w:caps w:val="false"/>
          <w:smallCaps w:val="false"/>
          <w:color w:val="FF0000"/>
        </w:rPr>
      </w:pPr>
      <w:r>
        <w:rPr>
          <w:caps w:val="false"/>
          <w:smallCaps w:val="false"/>
          <w:color w:val="FF0000"/>
        </w:rPr>
        <w:t> </w:t>
      </w:r>
    </w:p>
    <w:p>
      <w:pPr>
        <w:pStyle w:val="TextBody"/>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Credit Growth &amp; Quality:</w:t>
      </w:r>
    </w:p>
    <w:p>
      <w:pPr>
        <w:pStyle w:val="TextBody"/>
        <w:spacing w:before="0" w:after="0"/>
        <w:ind w:left="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125"/>
        <w:gridCol w:w="10043"/>
      </w:tblGrid>
      <w:tr>
        <w:trPr/>
        <w:tc>
          <w:tcPr>
            <w:tcW w:w="37"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center"/>
          </w:tcPr>
          <w:p>
            <w:pPr>
              <w:pStyle w:val="TableContents"/>
              <w:spacing w:before="0" w:after="283"/>
              <w:rPr>
                <w:rFonts w:ascii="Symbol" w:hAnsi="Symbol"/>
              </w:rPr>
            </w:pPr>
            <w:r>
              <w:rPr>
                <w:rFonts w:ascii="Symbol" w:hAnsi="Symbol"/>
              </w:rPr>
              <w:t>·</w:t>
            </w:r>
          </w:p>
        </w:tc>
        <w:tc>
          <w:tcPr>
            <w:tcW w:w="10043"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rPr>
              <w:t>The end-of-period Commercial Portfolio balance amounted to $7.2 billion as of September 30, 2014 (+4% QoQ; +9% YoY), while average Commercial Portfolio balances reached $7.0 billion in 3Q14 (+1% QoQ; +3% YoY), and $6.8 billion in the first 9M14 (+9% YoY).</w:t>
            </w:r>
          </w:p>
        </w:tc>
      </w:tr>
    </w:tbl>
    <w:tbl>
      <w:tblPr>
        <w:tblW w:w="10205" w:type="dxa"/>
        <w:jc w:val="left"/>
        <w:tblInd w:w="0" w:type="dxa"/>
        <w:tblCellMar>
          <w:top w:w="0" w:type="dxa"/>
          <w:left w:w="0" w:type="dxa"/>
          <w:bottom w:w="0" w:type="dxa"/>
          <w:right w:w="0" w:type="dxa"/>
        </w:tblCellMar>
      </w:tblPr>
      <w:tblGrid>
        <w:gridCol w:w="38"/>
        <w:gridCol w:w="125"/>
        <w:gridCol w:w="10042"/>
      </w:tblGrid>
      <w:tr>
        <w:trPr/>
        <w:tc>
          <w:tcPr>
            <w:tcW w:w="38"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center"/>
          </w:tcPr>
          <w:p>
            <w:pPr>
              <w:pStyle w:val="TableContents"/>
              <w:spacing w:before="0" w:after="283"/>
              <w:rPr>
                <w:rFonts w:ascii="Symbol" w:hAnsi="Symbol"/>
              </w:rPr>
            </w:pPr>
            <w:r>
              <w:rPr>
                <w:rFonts w:ascii="Symbol" w:hAnsi="Symbol"/>
              </w:rPr>
              <w:t>·</w:t>
            </w:r>
          </w:p>
        </w:tc>
        <w:tc>
          <w:tcPr>
            <w:tcW w:w="10042"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rPr>
              <w:t>Credit disbursements totaled $3.6 billion in 3Q14 (+3% QoQ; +10% YoY), as 9M14 disbursements reached $10.3 billion (-4% YoY).</w:t>
            </w:r>
          </w:p>
        </w:tc>
      </w:tr>
    </w:tbl>
    <w:p>
      <w:pPr>
        <w:pStyle w:val="TextBody"/>
        <w:rPr/>
      </w:pPr>
      <w:r>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36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125"/>
        <w:gridCol w:w="10043"/>
      </w:tblGrid>
      <w:tr>
        <w:trPr/>
        <w:tc>
          <w:tcPr>
            <w:tcW w:w="37"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center"/>
          </w:tcPr>
          <w:p>
            <w:pPr>
              <w:pStyle w:val="TableContents"/>
              <w:spacing w:before="0" w:after="283"/>
              <w:rPr>
                <w:rFonts w:ascii="Symbol" w:hAnsi="Symbol"/>
              </w:rPr>
            </w:pPr>
            <w:r>
              <w:rPr>
                <w:rFonts w:ascii="Symbol" w:hAnsi="Symbol"/>
              </w:rPr>
              <w:t>·</w:t>
            </w:r>
          </w:p>
        </w:tc>
        <w:tc>
          <w:tcPr>
            <w:tcW w:w="10043"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rPr>
              <w:t>Credit quality remained healthy with a ratio of 0.06% of non-accrual loans to total loan portfolio balances as of September 30, 2014. The ratio of the allowance for credit losses to the Commercial Portfolio ending balances was 1.19% as of 3Q14 (+1 bps QoQ; -1 bp YoY). The credit provision to non-performing loan balances ratio was 21.1 times, compared to 20.3 times in 2Q14, and not meaningful in 3Q13.</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FINANCIAL SNAPSHOT</w:t>
      </w:r>
    </w:p>
    <w:p>
      <w:pPr>
        <w:pStyle w:val="TextBody"/>
        <w:spacing w:before="0" w:after="0"/>
        <w:ind w:left="0" w:right="0" w:hanging="0"/>
        <w:rPr>
          <w:caps w:val="false"/>
          <w:smallCaps w:val="false"/>
        </w:rPr>
      </w:pPr>
      <w:r>
        <w:rPr>
          <w:caps w:val="false"/>
          <w:smallCaps w:val="false"/>
        </w:rPr>
        <w:t> </w:t>
      </w:r>
    </w:p>
    <w:tbl>
      <w:tblPr>
        <w:tblW w:w="10470" w:type="dxa"/>
        <w:jc w:val="center"/>
        <w:tblInd w:w="0" w:type="dxa"/>
        <w:tblCellMar>
          <w:top w:w="0" w:type="dxa"/>
          <w:left w:w="0" w:type="dxa"/>
          <w:bottom w:w="28" w:type="dxa"/>
          <w:right w:w="0" w:type="dxa"/>
        </w:tblCellMar>
      </w:tblPr>
      <w:tblGrid>
        <w:gridCol w:w="5420"/>
        <w:gridCol w:w="60"/>
        <w:gridCol w:w="140"/>
        <w:gridCol w:w="560"/>
        <w:gridCol w:w="215"/>
        <w:gridCol w:w="60"/>
        <w:gridCol w:w="140"/>
        <w:gridCol w:w="560"/>
        <w:gridCol w:w="215"/>
        <w:gridCol w:w="60"/>
        <w:gridCol w:w="140"/>
        <w:gridCol w:w="560"/>
        <w:gridCol w:w="215"/>
        <w:gridCol w:w="60"/>
        <w:gridCol w:w="140"/>
        <w:gridCol w:w="560"/>
        <w:gridCol w:w="215"/>
        <w:gridCol w:w="60"/>
        <w:gridCol w:w="140"/>
        <w:gridCol w:w="560"/>
        <w:gridCol w:w="390"/>
      </w:tblGrid>
      <w:tr>
        <w:trPr/>
        <w:tc>
          <w:tcPr>
            <w:tcW w:w="5420" w:type="dxa"/>
            <w:tcBorders>
              <w:bottom w:val="single" w:sz="8" w:space="0" w:color="000000"/>
            </w:tcBorders>
            <w:shd w:fill="auto" w:val="clear"/>
            <w:vAlign w:val="center"/>
          </w:tcPr>
          <w:p>
            <w:pPr>
              <w:pStyle w:val="TableContents"/>
              <w:spacing w:before="0" w:after="283"/>
              <w:rPr/>
            </w:pPr>
            <w:r>
              <w:rPr/>
              <w:t>(US$ million, except percentages and per share amounts)</w:t>
            </w:r>
          </w:p>
        </w:tc>
        <w:tc>
          <w:tcPr>
            <w:tcW w:w="60" w:type="dxa"/>
            <w:tcBorders/>
            <w:shd w:fill="auto" w:val="clear"/>
            <w:tcMar>
              <w:bottom w:w="0" w:type="dxa"/>
            </w:tcMar>
            <w:vAlign w:val="center"/>
          </w:tcPr>
          <w:p>
            <w:pPr>
              <w:pStyle w:val="TableContents"/>
              <w:spacing w:before="0" w:after="283"/>
              <w:rPr/>
            </w:pPr>
            <w:r>
              <w:rPr/>
              <w:t> </w:t>
            </w:r>
          </w:p>
        </w:tc>
        <w:tc>
          <w:tcPr>
            <w:tcW w:w="700" w:type="dxa"/>
            <w:gridSpan w:val="2"/>
            <w:tcBorders>
              <w:bottom w:val="single" w:sz="8" w:space="0" w:color="000000"/>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9M14</w:t>
            </w:r>
          </w:p>
        </w:tc>
        <w:tc>
          <w:tcPr>
            <w:tcW w:w="21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700" w:type="dxa"/>
            <w:gridSpan w:val="2"/>
            <w:tcBorders>
              <w:bottom w:val="single" w:sz="8" w:space="0" w:color="000000"/>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9M13</w:t>
            </w:r>
          </w:p>
        </w:tc>
        <w:tc>
          <w:tcPr>
            <w:tcW w:w="215" w:type="dxa"/>
            <w:tcBorders>
              <w:right w:val="single" w:sz="8" w:space="0" w:color="000000"/>
            </w:tcBorders>
            <w:shd w:fill="auto" w:val="clear"/>
            <w:tcMar>
              <w:bottom w:w="0" w:type="dxa"/>
              <w:right w:w="28"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700" w:type="dxa"/>
            <w:gridSpan w:val="2"/>
            <w:tcBorders>
              <w:bottom w:val="single" w:sz="8" w:space="0" w:color="000000"/>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3Q14</w:t>
            </w:r>
          </w:p>
        </w:tc>
        <w:tc>
          <w:tcPr>
            <w:tcW w:w="21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700" w:type="dxa"/>
            <w:gridSpan w:val="2"/>
            <w:tcBorders>
              <w:bottom w:val="single" w:sz="8" w:space="0" w:color="000000"/>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2Q14</w:t>
            </w:r>
          </w:p>
        </w:tc>
        <w:tc>
          <w:tcPr>
            <w:tcW w:w="21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700" w:type="dxa"/>
            <w:gridSpan w:val="2"/>
            <w:tcBorders>
              <w:bottom w:val="single" w:sz="8" w:space="0" w:color="000000"/>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3Q13</w:t>
            </w:r>
          </w:p>
        </w:tc>
        <w:tc>
          <w:tcPr>
            <w:tcW w:w="390" w:type="dxa"/>
            <w:tcBorders/>
            <w:shd w:fill="auto" w:val="clear"/>
            <w:tcMar>
              <w:bottom w:w="0" w:type="dxa"/>
            </w:tcMar>
            <w:vAlign w:val="center"/>
          </w:tcPr>
          <w:p>
            <w:pPr>
              <w:pStyle w:val="TableContents"/>
              <w:spacing w:before="0" w:after="283"/>
              <w:rPr/>
            </w:pPr>
            <w:r>
              <w:rPr/>
              <w:t> </w:t>
            </w:r>
          </w:p>
        </w:tc>
      </w:tr>
      <w:tr>
        <w:trPr/>
        <w:tc>
          <w:tcPr>
            <w:tcW w:w="5420" w:type="dxa"/>
            <w:tcBorders/>
            <w:shd w:fill="CCEEFF" w:val="clear"/>
            <w:tcMar>
              <w:bottom w:w="0" w:type="dxa"/>
            </w:tcMar>
            <w:vAlign w:val="center"/>
          </w:tcPr>
          <w:p>
            <w:pPr>
              <w:pStyle w:val="TableContents"/>
              <w:spacing w:before="0" w:after="283"/>
              <w:jc w:val="left"/>
              <w:rPr>
                <w:b/>
              </w:rPr>
            </w:pPr>
            <w:r>
              <w:rPr>
                <w:b/>
              </w:rPr>
              <w:t>Key Income Statement Highlights</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rPr>
                <w:sz w:val="4"/>
                <w:szCs w:val="4"/>
              </w:rPr>
            </w:pPr>
            <w:r>
              <w:rPr>
                <w:sz w:val="4"/>
                <w:szCs w:val="4"/>
              </w:rPr>
            </w:r>
          </w:p>
        </w:tc>
        <w:tc>
          <w:tcPr>
            <w:tcW w:w="560" w:type="dxa"/>
            <w:tcBorders/>
            <w:shd w:fill="CCEEFF" w:val="clear"/>
            <w:tcMar>
              <w:bottom w:w="0" w:type="dxa"/>
            </w:tcMar>
            <w:vAlign w:val="center"/>
          </w:tcPr>
          <w:p>
            <w:pPr>
              <w:pStyle w:val="TableContents"/>
              <w:spacing w:before="0" w:after="283"/>
              <w:rPr>
                <w:sz w:val="4"/>
                <w:szCs w:val="4"/>
              </w:rPr>
            </w:pPr>
            <w:r>
              <w:rPr>
                <w:sz w:val="4"/>
                <w:szCs w:val="4"/>
              </w:rPr>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rPr>
                <w:sz w:val="4"/>
                <w:szCs w:val="4"/>
              </w:rPr>
            </w:pPr>
            <w:r>
              <w:rPr>
                <w:sz w:val="4"/>
                <w:szCs w:val="4"/>
              </w:rPr>
            </w:r>
          </w:p>
        </w:tc>
        <w:tc>
          <w:tcPr>
            <w:tcW w:w="560" w:type="dxa"/>
            <w:tcBorders/>
            <w:shd w:fill="CCEEFF" w:val="clear"/>
            <w:tcMar>
              <w:bottom w:w="0" w:type="dxa"/>
            </w:tcMar>
            <w:vAlign w:val="center"/>
          </w:tcPr>
          <w:p>
            <w:pPr>
              <w:pStyle w:val="TableContents"/>
              <w:spacing w:before="0" w:after="283"/>
              <w:rPr>
                <w:sz w:val="4"/>
                <w:szCs w:val="4"/>
              </w:rPr>
            </w:pPr>
            <w:r>
              <w:rPr>
                <w:sz w:val="4"/>
                <w:szCs w:val="4"/>
              </w:rPr>
            </w:r>
          </w:p>
        </w:tc>
        <w:tc>
          <w:tcPr>
            <w:tcW w:w="215" w:type="dxa"/>
            <w:tcBorders>
              <w:right w:val="single" w:sz="8" w:space="0" w:color="000000"/>
            </w:tcBorders>
            <w:shd w:fill="CCEEFF" w:val="clear"/>
            <w:tcMar>
              <w:bottom w:w="0" w:type="dxa"/>
              <w:right w:w="28"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rPr>
                <w:sz w:val="4"/>
                <w:szCs w:val="4"/>
              </w:rPr>
            </w:pPr>
            <w:r>
              <w:rPr>
                <w:sz w:val="4"/>
                <w:szCs w:val="4"/>
              </w:rPr>
            </w:r>
          </w:p>
        </w:tc>
        <w:tc>
          <w:tcPr>
            <w:tcW w:w="560" w:type="dxa"/>
            <w:tcBorders/>
            <w:shd w:fill="CCEEFF" w:val="clear"/>
            <w:tcMar>
              <w:bottom w:w="0" w:type="dxa"/>
            </w:tcMar>
            <w:vAlign w:val="center"/>
          </w:tcPr>
          <w:p>
            <w:pPr>
              <w:pStyle w:val="TableContents"/>
              <w:spacing w:before="0" w:after="283"/>
              <w:rPr>
                <w:sz w:val="4"/>
                <w:szCs w:val="4"/>
              </w:rPr>
            </w:pPr>
            <w:r>
              <w:rPr>
                <w:sz w:val="4"/>
                <w:szCs w:val="4"/>
              </w:rPr>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rPr>
                <w:sz w:val="4"/>
                <w:szCs w:val="4"/>
              </w:rPr>
            </w:pPr>
            <w:r>
              <w:rPr>
                <w:sz w:val="4"/>
                <w:szCs w:val="4"/>
              </w:rPr>
            </w:r>
          </w:p>
        </w:tc>
        <w:tc>
          <w:tcPr>
            <w:tcW w:w="560" w:type="dxa"/>
            <w:tcBorders/>
            <w:shd w:fill="CCEEFF" w:val="clear"/>
            <w:tcMar>
              <w:bottom w:w="0" w:type="dxa"/>
            </w:tcMar>
            <w:vAlign w:val="center"/>
          </w:tcPr>
          <w:p>
            <w:pPr>
              <w:pStyle w:val="TableContents"/>
              <w:spacing w:before="0" w:after="283"/>
              <w:rPr>
                <w:sz w:val="4"/>
                <w:szCs w:val="4"/>
              </w:rPr>
            </w:pPr>
            <w:r>
              <w:rPr>
                <w:sz w:val="4"/>
                <w:szCs w:val="4"/>
              </w:rPr>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rPr>
                <w:sz w:val="4"/>
                <w:szCs w:val="4"/>
              </w:rPr>
            </w:pPr>
            <w:r>
              <w:rPr>
                <w:sz w:val="4"/>
                <w:szCs w:val="4"/>
              </w:rPr>
            </w:r>
          </w:p>
        </w:tc>
        <w:tc>
          <w:tcPr>
            <w:tcW w:w="560" w:type="dxa"/>
            <w:tcBorders/>
            <w:shd w:fill="CCEEFF" w:val="clear"/>
            <w:tcMar>
              <w:bottom w:w="0" w:type="dxa"/>
            </w:tcMar>
            <w:vAlign w:val="center"/>
          </w:tcPr>
          <w:p>
            <w:pPr>
              <w:pStyle w:val="TableContents"/>
              <w:spacing w:before="0" w:after="283"/>
              <w:rPr>
                <w:sz w:val="4"/>
                <w:szCs w:val="4"/>
              </w:rPr>
            </w:pPr>
            <w:r>
              <w:rPr>
                <w:sz w:val="4"/>
                <w:szCs w:val="4"/>
              </w:rPr>
            </w:r>
          </w:p>
        </w:tc>
        <w:tc>
          <w:tcPr>
            <w:tcW w:w="390" w:type="dxa"/>
            <w:tcBorders/>
            <w:shd w:fill="CCEEFF" w:val="clear"/>
            <w:tcMar>
              <w:bottom w:w="0" w:type="dxa"/>
            </w:tcMar>
            <w:vAlign w:val="center"/>
          </w:tcPr>
          <w:p>
            <w:pPr>
              <w:pStyle w:val="TableContents"/>
              <w:spacing w:before="0" w:after="283"/>
              <w:ind w:left="0" w:right="0" w:firstLine="160"/>
              <w:jc w:val="left"/>
              <w:rPr/>
            </w:pPr>
            <w:r>
              <w:rPr/>
              <w:t> </w:t>
            </w:r>
          </w:p>
        </w:tc>
      </w:tr>
      <w:tr>
        <w:trPr/>
        <w:tc>
          <w:tcPr>
            <w:tcW w:w="5420" w:type="dxa"/>
            <w:tcBorders/>
            <w:shd w:fill="FFFFFF" w:val="clear"/>
            <w:tcMar>
              <w:bottom w:w="0" w:type="dxa"/>
            </w:tcMar>
            <w:vAlign w:val="center"/>
          </w:tcPr>
          <w:p>
            <w:pPr>
              <w:pStyle w:val="TableContents"/>
              <w:spacing w:before="0" w:after="283"/>
              <w:jc w:val="left"/>
              <w:rPr/>
            </w:pPr>
            <w:r>
              <w:rPr/>
              <w:t>Operating revenues</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116.9</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101.5</w:t>
            </w:r>
          </w:p>
        </w:tc>
        <w:tc>
          <w:tcPr>
            <w:tcW w:w="215" w:type="dxa"/>
            <w:tcBorders>
              <w:right w:val="single" w:sz="8" w:space="0" w:color="000000"/>
            </w:tcBorders>
            <w:shd w:fill="FFFFFF" w:val="clear"/>
            <w:tcMar>
              <w:bottom w:w="0" w:type="dxa"/>
              <w:right w:w="28"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43.2</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37.2</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31.5</w:t>
            </w:r>
          </w:p>
        </w:tc>
        <w:tc>
          <w:tcPr>
            <w:tcW w:w="390" w:type="dxa"/>
            <w:tcBorders/>
            <w:shd w:fill="FFFFFF" w:val="clear"/>
            <w:tcMar>
              <w:bottom w:w="0" w:type="dxa"/>
            </w:tcMar>
            <w:vAlign w:val="center"/>
          </w:tcPr>
          <w:p>
            <w:pPr>
              <w:pStyle w:val="TableContents"/>
              <w:spacing w:before="0" w:after="283"/>
              <w:ind w:left="0" w:right="0" w:firstLine="160"/>
              <w:jc w:val="left"/>
              <w:rPr/>
            </w:pPr>
            <w:r>
              <w:rPr/>
              <w:t> </w:t>
            </w:r>
          </w:p>
        </w:tc>
      </w:tr>
      <w:tr>
        <w:trPr/>
        <w:tc>
          <w:tcPr>
            <w:tcW w:w="5420" w:type="dxa"/>
            <w:tcBorders/>
            <w:shd w:fill="CCEEFF" w:val="clear"/>
            <w:tcMar>
              <w:bottom w:w="0" w:type="dxa"/>
            </w:tcMar>
            <w:vAlign w:val="center"/>
          </w:tcPr>
          <w:p>
            <w:pPr>
              <w:pStyle w:val="TableContents"/>
              <w:spacing w:before="0" w:after="283"/>
              <w:jc w:val="left"/>
              <w:rPr/>
            </w:pPr>
            <w:r>
              <w:rPr/>
              <w:t>Operating expenses</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(39.2</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(40.7</w:t>
            </w:r>
          </w:p>
        </w:tc>
        <w:tc>
          <w:tcPr>
            <w:tcW w:w="215" w:type="dxa"/>
            <w:tcBorders>
              <w:right w:val="single" w:sz="8" w:space="0" w:color="000000"/>
            </w:tcBorders>
            <w:shd w:fill="CCEEFF" w:val="clear"/>
            <w:tcMar>
              <w:bottom w:w="0" w:type="dxa"/>
              <w:right w:w="28"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(12.8</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(12.9</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(12.9</w:t>
            </w:r>
          </w:p>
        </w:tc>
        <w:tc>
          <w:tcPr>
            <w:tcW w:w="390" w:type="dxa"/>
            <w:tcBorders/>
            <w:shd w:fill="CCEEFF" w:val="clear"/>
            <w:tcMar>
              <w:bottom w:w="0" w:type="dxa"/>
            </w:tcMar>
            <w:vAlign w:val="center"/>
          </w:tcPr>
          <w:p>
            <w:pPr>
              <w:pStyle w:val="TableContents"/>
              <w:spacing w:before="0" w:after="283"/>
              <w:ind w:left="0" w:right="0" w:firstLine="160"/>
              <w:jc w:val="left"/>
              <w:rPr/>
            </w:pPr>
            <w:r>
              <w:rPr/>
              <w:t>)</w:t>
            </w:r>
          </w:p>
        </w:tc>
      </w:tr>
      <w:tr>
        <w:trPr/>
        <w:tc>
          <w:tcPr>
            <w:tcW w:w="5420" w:type="dxa"/>
            <w:tcBorders/>
            <w:shd w:fill="FFFFFF" w:val="clear"/>
            <w:tcMar>
              <w:bottom w:w="0" w:type="dxa"/>
            </w:tcM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Net Income</w:t>
            </w:r>
            <w:r>
              <w:rPr>
                <w:rFonts w:ascii="Times New Roman;Times;Serif" w:hAnsi="Times New Roman;Times;Serif"/>
                <w:b w:val="false"/>
                <w:i w:val="false"/>
                <w:caps w:val="false"/>
                <w:smallCaps w:val="false"/>
                <w:position w:val="7"/>
                <w:sz w:val="16"/>
                <w:sz w:val="20"/>
              </w:rPr>
              <w:t xml:space="preserve"> (1)</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73.0</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62.2</w:t>
            </w:r>
          </w:p>
        </w:tc>
        <w:tc>
          <w:tcPr>
            <w:tcW w:w="215" w:type="dxa"/>
            <w:tcBorders>
              <w:right w:val="single" w:sz="8" w:space="0" w:color="000000"/>
            </w:tcBorders>
            <w:shd w:fill="FFFFFF" w:val="clear"/>
            <w:tcMar>
              <w:bottom w:w="0" w:type="dxa"/>
              <w:right w:w="28"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26.0</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22.9</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26.9</w:t>
            </w:r>
          </w:p>
        </w:tc>
        <w:tc>
          <w:tcPr>
            <w:tcW w:w="390" w:type="dxa"/>
            <w:tcBorders/>
            <w:shd w:fill="FFFFFF" w:val="clear"/>
            <w:tcMar>
              <w:bottom w:w="0" w:type="dxa"/>
            </w:tcMar>
            <w:vAlign w:val="center"/>
          </w:tcPr>
          <w:p>
            <w:pPr>
              <w:pStyle w:val="TableContents"/>
              <w:spacing w:before="0" w:after="283"/>
              <w:ind w:left="0" w:right="0" w:firstLine="160"/>
              <w:jc w:val="left"/>
              <w:rPr/>
            </w:pPr>
            <w:r>
              <w:rPr/>
              <w:t> </w:t>
            </w:r>
          </w:p>
        </w:tc>
      </w:tr>
      <w:tr>
        <w:trPr/>
        <w:tc>
          <w:tcPr>
            <w:tcW w:w="5420" w:type="dxa"/>
            <w:tcBorders/>
            <w:shd w:fill="CCEEFF" w:val="clear"/>
            <w:tcMar>
              <w:bottom w:w="0" w:type="dxa"/>
            </w:tcM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Non-Core Items </w:t>
            </w:r>
            <w:r>
              <w:rPr>
                <w:rFonts w:ascii="Times New Roman;Times;Serif" w:hAnsi="Times New Roman;Times;Serif"/>
                <w:b w:val="false"/>
                <w:i w:val="false"/>
                <w:caps w:val="false"/>
                <w:smallCaps w:val="false"/>
                <w:position w:val="7"/>
                <w:sz w:val="16"/>
                <w:sz w:val="20"/>
              </w:rPr>
              <w:t>(2)</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(2.2</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(1.4</w:t>
            </w:r>
          </w:p>
        </w:tc>
        <w:tc>
          <w:tcPr>
            <w:tcW w:w="215" w:type="dxa"/>
            <w:tcBorders>
              <w:right w:val="single" w:sz="8" w:space="0" w:color="000000"/>
            </w:tcBorders>
            <w:shd w:fill="CCEEFF" w:val="clear"/>
            <w:tcMar>
              <w:bottom w:w="0" w:type="dxa"/>
              <w:right w:w="28"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0.6</w:t>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(2.2</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(4.1</w:t>
            </w:r>
          </w:p>
        </w:tc>
        <w:tc>
          <w:tcPr>
            <w:tcW w:w="390" w:type="dxa"/>
            <w:tcBorders/>
            <w:shd w:fill="CCEEFF" w:val="clear"/>
            <w:tcMar>
              <w:bottom w:w="0" w:type="dxa"/>
            </w:tcMar>
            <w:vAlign w:val="center"/>
          </w:tcPr>
          <w:p>
            <w:pPr>
              <w:pStyle w:val="TableContents"/>
              <w:spacing w:before="0" w:after="283"/>
              <w:ind w:left="0" w:right="0" w:firstLine="160"/>
              <w:jc w:val="left"/>
              <w:rPr/>
            </w:pPr>
            <w:r>
              <w:rPr/>
              <w:t>)</w:t>
            </w:r>
          </w:p>
        </w:tc>
      </w:tr>
      <w:tr>
        <w:trPr/>
        <w:tc>
          <w:tcPr>
            <w:tcW w:w="5420" w:type="dxa"/>
            <w:tcBorders/>
            <w:shd w:fill="FFFFFF" w:val="clear"/>
            <w:tcMar>
              <w:bottom w:w="0" w:type="dxa"/>
            </w:tcM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Net Income attributable to Bladex Stockholders</w:t>
            </w:r>
            <w:r>
              <w:rPr>
                <w:rFonts w:ascii="Times New Roman;Times;Serif" w:hAnsi="Times New Roman;Times;Serif"/>
                <w:b w:val="false"/>
                <w:i w:val="false"/>
                <w:caps w:val="false"/>
                <w:smallCaps w:val="false"/>
                <w:position w:val="7"/>
                <w:sz w:val="16"/>
                <w:sz w:val="20"/>
              </w:rPr>
              <w:t xml:space="preserve"> (3)</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70.8</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60.8</w:t>
            </w:r>
          </w:p>
        </w:tc>
        <w:tc>
          <w:tcPr>
            <w:tcW w:w="215" w:type="dxa"/>
            <w:tcBorders>
              <w:right w:val="single" w:sz="8" w:space="0" w:color="000000"/>
            </w:tcBorders>
            <w:shd w:fill="FFFFFF" w:val="clear"/>
            <w:tcMar>
              <w:bottom w:w="0" w:type="dxa"/>
              <w:right w:w="28"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26.6</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20.7</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22.8</w:t>
            </w:r>
          </w:p>
        </w:tc>
        <w:tc>
          <w:tcPr>
            <w:tcW w:w="390" w:type="dxa"/>
            <w:tcBorders/>
            <w:shd w:fill="FFFFFF" w:val="clear"/>
            <w:tcMar>
              <w:bottom w:w="0" w:type="dxa"/>
            </w:tcMar>
            <w:vAlign w:val="center"/>
          </w:tcPr>
          <w:p>
            <w:pPr>
              <w:pStyle w:val="TableContents"/>
              <w:spacing w:before="0" w:after="283"/>
              <w:jc w:val="left"/>
              <w:rPr/>
            </w:pPr>
            <w:r>
              <w:rPr/>
              <w:t> </w:t>
            </w:r>
          </w:p>
        </w:tc>
      </w:tr>
      <w:tr>
        <w:trPr/>
        <w:tc>
          <w:tcPr>
            <w:tcW w:w="5420" w:type="dxa"/>
            <w:tcBorders/>
            <w:shd w:fill="CCEEFF" w:val="clear"/>
            <w:tcMar>
              <w:bottom w:w="0" w:type="dxa"/>
            </w:tcMar>
            <w:vAlign w:val="center"/>
          </w:tcPr>
          <w:p>
            <w:pPr>
              <w:pStyle w:val="TableContents"/>
              <w:spacing w:before="0" w:after="283"/>
              <w:jc w:val="left"/>
              <w:rPr>
                <w:b/>
              </w:rPr>
            </w:pPr>
            <w:r>
              <w:rPr>
                <w:b/>
              </w:rPr>
              <w:t>Profitability Ratios</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 </w:t>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 </w:t>
            </w:r>
          </w:p>
        </w:tc>
        <w:tc>
          <w:tcPr>
            <w:tcW w:w="215" w:type="dxa"/>
            <w:tcBorders>
              <w:right w:val="single" w:sz="8" w:space="0" w:color="000000"/>
            </w:tcBorders>
            <w:shd w:fill="CCEEFF" w:val="clear"/>
            <w:tcMar>
              <w:bottom w:w="0" w:type="dxa"/>
              <w:right w:w="28"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 </w:t>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 </w:t>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 </w:t>
            </w:r>
          </w:p>
        </w:tc>
        <w:tc>
          <w:tcPr>
            <w:tcW w:w="390" w:type="dxa"/>
            <w:tcBorders/>
            <w:shd w:fill="CCEEFF" w:val="clear"/>
            <w:tcMar>
              <w:bottom w:w="0" w:type="dxa"/>
            </w:tcMar>
            <w:vAlign w:val="center"/>
          </w:tcPr>
          <w:p>
            <w:pPr>
              <w:pStyle w:val="TableContents"/>
              <w:spacing w:before="0" w:after="283"/>
              <w:ind w:left="0" w:right="0" w:firstLine="160"/>
              <w:jc w:val="left"/>
              <w:rPr/>
            </w:pPr>
            <w:r>
              <w:rPr/>
              <w:t> </w:t>
            </w:r>
          </w:p>
        </w:tc>
      </w:tr>
      <w:tr>
        <w:trPr/>
        <w:tc>
          <w:tcPr>
            <w:tcW w:w="5420" w:type="dxa"/>
            <w:tcBorders/>
            <w:shd w:fill="FFFFFF" w:val="clear"/>
            <w:tcMar>
              <w:bottom w:w="0" w:type="dxa"/>
            </w:tcM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Earnings per Share ("EPS") </w:t>
            </w:r>
            <w:r>
              <w:rPr>
                <w:rFonts w:ascii="Times New Roman;Times;Serif" w:hAnsi="Times New Roman;Times;Serif"/>
                <w:b w:val="false"/>
                <w:i w:val="false"/>
                <w:caps w:val="false"/>
                <w:smallCaps w:val="false"/>
                <w:position w:val="7"/>
                <w:sz w:val="16"/>
                <w:sz w:val="20"/>
              </w:rPr>
              <w:t>(4)</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1.83</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1.59</w:t>
            </w:r>
          </w:p>
        </w:tc>
        <w:tc>
          <w:tcPr>
            <w:tcW w:w="215" w:type="dxa"/>
            <w:tcBorders>
              <w:right w:val="single" w:sz="8" w:space="0" w:color="000000"/>
            </w:tcBorders>
            <w:shd w:fill="FFFFFF" w:val="clear"/>
            <w:tcMar>
              <w:bottom w:w="0" w:type="dxa"/>
              <w:right w:w="28"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0.69</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0.54</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0.59</w:t>
            </w:r>
          </w:p>
        </w:tc>
        <w:tc>
          <w:tcPr>
            <w:tcW w:w="390" w:type="dxa"/>
            <w:tcBorders/>
            <w:shd w:fill="FFFFFF" w:val="clear"/>
            <w:tcMar>
              <w:bottom w:w="0" w:type="dxa"/>
            </w:tcMar>
            <w:vAlign w:val="center"/>
          </w:tcPr>
          <w:p>
            <w:pPr>
              <w:pStyle w:val="TableContents"/>
              <w:spacing w:before="0" w:after="283"/>
              <w:ind w:left="0" w:right="0" w:firstLine="160"/>
              <w:jc w:val="left"/>
              <w:rPr/>
            </w:pPr>
            <w:r>
              <w:rPr/>
              <w:t> </w:t>
            </w:r>
          </w:p>
        </w:tc>
      </w:tr>
      <w:tr>
        <w:trPr/>
        <w:tc>
          <w:tcPr>
            <w:tcW w:w="5420" w:type="dxa"/>
            <w:tcBorders/>
            <w:shd w:fill="CCEEFF" w:val="clear"/>
            <w:tcMar>
              <w:bottom w:w="0" w:type="dxa"/>
            </w:tcMar>
            <w:vAlign w:val="center"/>
          </w:tcPr>
          <w:p>
            <w:pPr>
              <w:pStyle w:val="TableContents"/>
              <w:spacing w:before="0" w:after="283"/>
              <w:jc w:val="left"/>
              <w:rPr/>
            </w:pPr>
            <w:r>
              <w:rPr/>
              <w:t>Return on Average Equity (“ROAE”)</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10.7</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9.7</w:t>
            </w:r>
          </w:p>
        </w:tc>
        <w:tc>
          <w:tcPr>
            <w:tcW w:w="215" w:type="dxa"/>
            <w:tcBorders>
              <w:right w:val="single" w:sz="8" w:space="0" w:color="000000"/>
            </w:tcBorders>
            <w:shd w:fill="CCEEFF" w:val="clear"/>
            <w:tcMar>
              <w:bottom w:w="0" w:type="dxa"/>
              <w:right w:w="28"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11.7</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9.3</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10.7</w:t>
            </w:r>
          </w:p>
        </w:tc>
        <w:tc>
          <w:tcPr>
            <w:tcW w:w="390" w:type="dxa"/>
            <w:tcBorders/>
            <w:shd w:fill="CCEEFF" w:val="clear"/>
            <w:tcMar>
              <w:bottom w:w="0" w:type="dxa"/>
            </w:tcMar>
            <w:vAlign w:val="center"/>
          </w:tcPr>
          <w:p>
            <w:pPr>
              <w:pStyle w:val="TableContents"/>
              <w:spacing w:before="0" w:after="283"/>
              <w:ind w:left="0" w:right="0" w:firstLine="160"/>
              <w:jc w:val="left"/>
              <w:rPr/>
            </w:pPr>
            <w:r>
              <w:rPr/>
              <w:t>%</w:t>
            </w:r>
          </w:p>
        </w:tc>
      </w:tr>
      <w:tr>
        <w:trPr/>
        <w:tc>
          <w:tcPr>
            <w:tcW w:w="5420" w:type="dxa"/>
            <w:tcBorders/>
            <w:shd w:fill="FFFFFF" w:val="clear"/>
            <w:tcMar>
              <w:bottom w:w="0" w:type="dxa"/>
            </w:tcM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ROAE</w:t>
            </w:r>
            <w:r>
              <w:rPr>
                <w:rFonts w:ascii="Times New Roman;Times;Serif" w:hAnsi="Times New Roman;Times;Serif"/>
                <w:b w:val="false"/>
                <w:i w:val="false"/>
                <w:caps w:val="false"/>
                <w:smallCaps w:val="false"/>
                <w:position w:val="7"/>
                <w:sz w:val="16"/>
                <w:sz w:val="20"/>
              </w:rPr>
              <w:t xml:space="preserve"> (5)</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11.0</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9.9</w:t>
            </w:r>
          </w:p>
        </w:tc>
        <w:tc>
          <w:tcPr>
            <w:tcW w:w="215" w:type="dxa"/>
            <w:tcBorders>
              <w:right w:val="single" w:sz="8" w:space="0" w:color="000000"/>
            </w:tcBorders>
            <w:shd w:fill="FFFFFF" w:val="clear"/>
            <w:tcMar>
              <w:bottom w:w="0" w:type="dxa"/>
              <w:right w:w="28"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11.4</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10.3</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12.6</w:t>
            </w:r>
          </w:p>
        </w:tc>
        <w:tc>
          <w:tcPr>
            <w:tcW w:w="390" w:type="dxa"/>
            <w:tcBorders/>
            <w:shd w:fill="FFFFFF" w:val="clear"/>
            <w:tcMar>
              <w:bottom w:w="0" w:type="dxa"/>
            </w:tcMar>
            <w:vAlign w:val="center"/>
          </w:tcPr>
          <w:p>
            <w:pPr>
              <w:pStyle w:val="TableContents"/>
              <w:spacing w:before="0" w:after="283"/>
              <w:ind w:left="0" w:right="0" w:firstLine="160"/>
              <w:jc w:val="left"/>
              <w:rPr/>
            </w:pPr>
            <w:r>
              <w:rPr/>
              <w:t>%</w:t>
            </w:r>
          </w:p>
        </w:tc>
      </w:tr>
      <w:tr>
        <w:trPr/>
        <w:tc>
          <w:tcPr>
            <w:tcW w:w="5420" w:type="dxa"/>
            <w:tcBorders/>
            <w:shd w:fill="CCEEFF" w:val="clear"/>
            <w:tcMar>
              <w:bottom w:w="0" w:type="dxa"/>
            </w:tcMar>
            <w:vAlign w:val="center"/>
          </w:tcPr>
          <w:p>
            <w:pPr>
              <w:pStyle w:val="TableContents"/>
              <w:spacing w:before="0" w:after="283"/>
              <w:jc w:val="left"/>
              <w:rPr/>
            </w:pPr>
            <w:r>
              <w:rPr/>
              <w:t>Business Return on Average Assets</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1.31</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1.20</w:t>
            </w:r>
          </w:p>
        </w:tc>
        <w:tc>
          <w:tcPr>
            <w:tcW w:w="215" w:type="dxa"/>
            <w:tcBorders>
              <w:right w:val="single" w:sz="8" w:space="0" w:color="000000"/>
            </w:tcBorders>
            <w:shd w:fill="CCEEFF" w:val="clear"/>
            <w:tcMar>
              <w:bottom w:w="0" w:type="dxa"/>
              <w:right w:w="28"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1.36</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1.24</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1.43</w:t>
            </w:r>
          </w:p>
        </w:tc>
        <w:tc>
          <w:tcPr>
            <w:tcW w:w="390" w:type="dxa"/>
            <w:tcBorders/>
            <w:shd w:fill="CCEEFF" w:val="clear"/>
            <w:tcMar>
              <w:bottom w:w="0" w:type="dxa"/>
            </w:tcMar>
            <w:vAlign w:val="center"/>
          </w:tcPr>
          <w:p>
            <w:pPr>
              <w:pStyle w:val="TableContents"/>
              <w:spacing w:before="0" w:after="283"/>
              <w:ind w:left="0" w:right="0" w:firstLine="160"/>
              <w:jc w:val="left"/>
              <w:rPr/>
            </w:pPr>
            <w:r>
              <w:rPr/>
              <w:t>%</w:t>
            </w:r>
          </w:p>
        </w:tc>
      </w:tr>
      <w:tr>
        <w:trPr/>
        <w:tc>
          <w:tcPr>
            <w:tcW w:w="5420" w:type="dxa"/>
            <w:tcBorders/>
            <w:shd w:fill="FFFFFF" w:val="clear"/>
            <w:tcMar>
              <w:bottom w:w="0" w:type="dxa"/>
            </w:tcMar>
            <w:vAlign w:val="center"/>
          </w:tcPr>
          <w:p>
            <w:pPr>
              <w:pStyle w:val="TableContents"/>
              <w:spacing w:before="0" w:after="283"/>
              <w:jc w:val="left"/>
              <w:rPr/>
            </w:pPr>
            <w:r>
              <w:rPr/>
              <w:t>Net Interest Margin ("NIM")</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1.85</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1.77</w:t>
            </w:r>
          </w:p>
        </w:tc>
        <w:tc>
          <w:tcPr>
            <w:tcW w:w="215" w:type="dxa"/>
            <w:tcBorders>
              <w:right w:val="single" w:sz="8" w:space="0" w:color="000000"/>
            </w:tcBorders>
            <w:shd w:fill="FFFFFF" w:val="clear"/>
            <w:tcMar>
              <w:bottom w:w="0" w:type="dxa"/>
              <w:right w:w="28"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1.93</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1.84</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1.96</w:t>
            </w:r>
          </w:p>
        </w:tc>
        <w:tc>
          <w:tcPr>
            <w:tcW w:w="390" w:type="dxa"/>
            <w:tcBorders/>
            <w:shd w:fill="FFFFFF" w:val="clear"/>
            <w:tcMar>
              <w:bottom w:w="0" w:type="dxa"/>
            </w:tcMar>
            <w:vAlign w:val="center"/>
          </w:tcPr>
          <w:p>
            <w:pPr>
              <w:pStyle w:val="TableContents"/>
              <w:spacing w:before="0" w:after="283"/>
              <w:ind w:left="0" w:right="0" w:firstLine="160"/>
              <w:jc w:val="left"/>
              <w:rPr/>
            </w:pPr>
            <w:r>
              <w:rPr/>
              <w:t>%</w:t>
            </w:r>
          </w:p>
        </w:tc>
      </w:tr>
      <w:tr>
        <w:trPr/>
        <w:tc>
          <w:tcPr>
            <w:tcW w:w="5420" w:type="dxa"/>
            <w:tcBorders/>
            <w:shd w:fill="CCEEFF" w:val="clear"/>
            <w:tcMar>
              <w:bottom w:w="0" w:type="dxa"/>
            </w:tcMar>
            <w:vAlign w:val="center"/>
          </w:tcPr>
          <w:p>
            <w:pPr>
              <w:pStyle w:val="TableContents"/>
              <w:spacing w:before="0" w:after="283"/>
              <w:jc w:val="left"/>
              <w:rPr/>
            </w:pPr>
            <w:r>
              <w:rPr/>
              <w:t>Net Interest Spread ("NIS")</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1.69</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1.57</w:t>
            </w:r>
          </w:p>
        </w:tc>
        <w:tc>
          <w:tcPr>
            <w:tcW w:w="215" w:type="dxa"/>
            <w:tcBorders>
              <w:right w:val="single" w:sz="8" w:space="0" w:color="000000"/>
            </w:tcBorders>
            <w:shd w:fill="CCEEFF" w:val="clear"/>
            <w:tcMar>
              <w:bottom w:w="0" w:type="dxa"/>
              <w:right w:w="28"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1.77</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1.67</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1.78</w:t>
            </w:r>
          </w:p>
        </w:tc>
        <w:tc>
          <w:tcPr>
            <w:tcW w:w="390" w:type="dxa"/>
            <w:tcBorders/>
            <w:shd w:fill="CCEEFF" w:val="clear"/>
            <w:tcMar>
              <w:bottom w:w="0" w:type="dxa"/>
            </w:tcMar>
            <w:vAlign w:val="center"/>
          </w:tcPr>
          <w:p>
            <w:pPr>
              <w:pStyle w:val="TableContents"/>
              <w:spacing w:before="0" w:after="283"/>
              <w:ind w:left="0" w:right="0" w:firstLine="160"/>
              <w:jc w:val="left"/>
              <w:rPr/>
            </w:pPr>
            <w:r>
              <w:rPr/>
              <w:t>%</w:t>
            </w:r>
          </w:p>
        </w:tc>
      </w:tr>
      <w:tr>
        <w:trPr/>
        <w:tc>
          <w:tcPr>
            <w:tcW w:w="5420" w:type="dxa"/>
            <w:tcBorders/>
            <w:shd w:fill="FFFFFF" w:val="clear"/>
            <w:tcMar>
              <w:bottom w:w="0" w:type="dxa"/>
            </w:tcM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Business Efficiency Ratio </w:t>
            </w:r>
            <w:r>
              <w:rPr>
                <w:rFonts w:ascii="Times New Roman;Times;Serif" w:hAnsi="Times New Roman;Times;Serif"/>
                <w:b w:val="false"/>
                <w:i w:val="false"/>
                <w:caps w:val="false"/>
                <w:smallCaps w:val="false"/>
                <w:position w:val="7"/>
                <w:sz w:val="16"/>
                <w:sz w:val="20"/>
              </w:rPr>
              <w:t>(6)</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33</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38</w:t>
            </w:r>
          </w:p>
        </w:tc>
        <w:tc>
          <w:tcPr>
            <w:tcW w:w="215" w:type="dxa"/>
            <w:tcBorders>
              <w:right w:val="single" w:sz="8" w:space="0" w:color="000000"/>
            </w:tcBorders>
            <w:shd w:fill="FFFFFF" w:val="clear"/>
            <w:tcMar>
              <w:bottom w:w="0" w:type="dxa"/>
              <w:right w:w="28"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30</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32</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34</w:t>
            </w:r>
          </w:p>
        </w:tc>
        <w:tc>
          <w:tcPr>
            <w:tcW w:w="390" w:type="dxa"/>
            <w:tcBorders/>
            <w:shd w:fill="FFFFFF" w:val="clear"/>
            <w:tcMar>
              <w:bottom w:w="0" w:type="dxa"/>
            </w:tcMar>
            <w:vAlign w:val="center"/>
          </w:tcPr>
          <w:p>
            <w:pPr>
              <w:pStyle w:val="TableContents"/>
              <w:spacing w:before="0" w:after="283"/>
              <w:jc w:val="left"/>
              <w:rPr/>
            </w:pPr>
            <w:r>
              <w:rPr/>
              <w:t>%</w:t>
            </w:r>
          </w:p>
        </w:tc>
      </w:tr>
      <w:tr>
        <w:trPr/>
        <w:tc>
          <w:tcPr>
            <w:tcW w:w="5420" w:type="dxa"/>
            <w:tcBorders/>
            <w:shd w:fill="CCEEFF" w:val="clear"/>
            <w:tcMar>
              <w:bottom w:w="0" w:type="dxa"/>
            </w:tcMar>
            <w:vAlign w:val="center"/>
          </w:tcPr>
          <w:p>
            <w:pPr>
              <w:pStyle w:val="TableContents"/>
              <w:spacing w:before="0" w:after="283"/>
              <w:jc w:val="left"/>
              <w:rPr>
                <w:b/>
              </w:rPr>
            </w:pPr>
            <w:r>
              <w:rPr>
                <w:b/>
              </w:rPr>
              <w:t>Assets, Capital, Liquidity &amp; Credit Quality</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 </w:t>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 </w:t>
            </w:r>
          </w:p>
        </w:tc>
        <w:tc>
          <w:tcPr>
            <w:tcW w:w="215" w:type="dxa"/>
            <w:tcBorders>
              <w:right w:val="single" w:sz="8" w:space="0" w:color="000000"/>
            </w:tcBorders>
            <w:shd w:fill="CCEEFF" w:val="clear"/>
            <w:tcMar>
              <w:bottom w:w="0" w:type="dxa"/>
              <w:right w:w="28"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 </w:t>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 </w:t>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 </w:t>
            </w:r>
          </w:p>
        </w:tc>
        <w:tc>
          <w:tcPr>
            <w:tcW w:w="390" w:type="dxa"/>
            <w:tcBorders/>
            <w:shd w:fill="CCEEFF" w:val="clear"/>
            <w:tcMar>
              <w:bottom w:w="0" w:type="dxa"/>
            </w:tcMar>
            <w:vAlign w:val="center"/>
          </w:tcPr>
          <w:p>
            <w:pPr>
              <w:pStyle w:val="TableContents"/>
              <w:spacing w:before="0" w:after="283"/>
              <w:ind w:left="0" w:right="0" w:firstLine="160"/>
              <w:jc w:val="left"/>
              <w:rPr/>
            </w:pPr>
            <w:r>
              <w:rPr/>
              <w:t> </w:t>
            </w:r>
          </w:p>
        </w:tc>
      </w:tr>
      <w:tr>
        <w:trPr/>
        <w:tc>
          <w:tcPr>
            <w:tcW w:w="5420" w:type="dxa"/>
            <w:tcBorders/>
            <w:shd w:fill="FFFFFF" w:val="clear"/>
            <w:tcMar>
              <w:bottom w:w="0" w:type="dxa"/>
            </w:tcMar>
            <w:vAlign w:val="center"/>
          </w:tcPr>
          <w:p>
            <w:pPr>
              <w:pStyle w:val="TableContents"/>
              <w:spacing w:before="0" w:after="283"/>
              <w:jc w:val="left"/>
              <w:rPr/>
            </w:pPr>
            <w:r>
              <w:rPr/>
              <w:t>Commercial Portfolio</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7,196</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6,584</w:t>
            </w:r>
          </w:p>
        </w:tc>
        <w:tc>
          <w:tcPr>
            <w:tcW w:w="215" w:type="dxa"/>
            <w:tcBorders>
              <w:right w:val="single" w:sz="8" w:space="0" w:color="000000"/>
            </w:tcBorders>
            <w:shd w:fill="FFFFFF" w:val="clear"/>
            <w:tcMar>
              <w:bottom w:w="0" w:type="dxa"/>
              <w:right w:w="28"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7,196</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6,901</w:t>
            </w:r>
          </w:p>
        </w:tc>
        <w:tc>
          <w:tcPr>
            <w:tcW w:w="21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w:t>
            </w:r>
          </w:p>
        </w:tc>
        <w:tc>
          <w:tcPr>
            <w:tcW w:w="560" w:type="dxa"/>
            <w:tcBorders/>
            <w:shd w:fill="FFFFFF" w:val="clear"/>
            <w:tcMar>
              <w:bottom w:w="0" w:type="dxa"/>
            </w:tcMar>
            <w:vAlign w:val="center"/>
          </w:tcPr>
          <w:p>
            <w:pPr>
              <w:pStyle w:val="TableContents"/>
              <w:spacing w:before="0" w:after="283"/>
              <w:jc w:val="right"/>
              <w:rPr/>
            </w:pPr>
            <w:r>
              <w:rPr/>
              <w:t>6,584</w:t>
            </w:r>
          </w:p>
        </w:tc>
        <w:tc>
          <w:tcPr>
            <w:tcW w:w="390" w:type="dxa"/>
            <w:tcBorders/>
            <w:shd w:fill="FFFFFF" w:val="clear"/>
            <w:tcMar>
              <w:bottom w:w="0" w:type="dxa"/>
            </w:tcMar>
            <w:vAlign w:val="center"/>
          </w:tcPr>
          <w:p>
            <w:pPr>
              <w:pStyle w:val="TableContents"/>
              <w:spacing w:before="0" w:after="283"/>
              <w:ind w:left="0" w:right="0" w:firstLine="160"/>
              <w:jc w:val="left"/>
              <w:rPr/>
            </w:pPr>
            <w:r>
              <w:rPr/>
              <w:t> </w:t>
            </w:r>
          </w:p>
        </w:tc>
      </w:tr>
      <w:tr>
        <w:trPr/>
        <w:tc>
          <w:tcPr>
            <w:tcW w:w="5420" w:type="dxa"/>
            <w:tcBorders/>
            <w:shd w:fill="CCEEFF" w:val="clear"/>
            <w:tcMar>
              <w:bottom w:w="0" w:type="dxa"/>
            </w:tcMar>
            <w:vAlign w:val="center"/>
          </w:tcPr>
          <w:p>
            <w:pPr>
              <w:pStyle w:val="TableContents"/>
              <w:spacing w:before="0" w:after="283"/>
              <w:jc w:val="left"/>
              <w:rPr/>
            </w:pPr>
            <w:r>
              <w:rPr/>
              <w:t>Treasury Portfolio</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402</w:t>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361</w:t>
            </w:r>
          </w:p>
        </w:tc>
        <w:tc>
          <w:tcPr>
            <w:tcW w:w="215" w:type="dxa"/>
            <w:tcBorders>
              <w:right w:val="single" w:sz="8" w:space="0" w:color="000000"/>
            </w:tcBorders>
            <w:shd w:fill="CCEEFF" w:val="clear"/>
            <w:tcMar>
              <w:bottom w:w="0" w:type="dxa"/>
              <w:right w:w="28"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402</w:t>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376</w:t>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w:t>
            </w:r>
          </w:p>
        </w:tc>
        <w:tc>
          <w:tcPr>
            <w:tcW w:w="560" w:type="dxa"/>
            <w:tcBorders/>
            <w:shd w:fill="CCEEFF" w:val="clear"/>
            <w:tcMar>
              <w:bottom w:w="0" w:type="dxa"/>
            </w:tcMar>
            <w:vAlign w:val="center"/>
          </w:tcPr>
          <w:p>
            <w:pPr>
              <w:pStyle w:val="TableContents"/>
              <w:spacing w:before="0" w:after="283"/>
              <w:jc w:val="right"/>
              <w:rPr/>
            </w:pPr>
            <w:r>
              <w:rPr/>
              <w:t>361</w:t>
            </w:r>
          </w:p>
        </w:tc>
        <w:tc>
          <w:tcPr>
            <w:tcW w:w="390" w:type="dxa"/>
            <w:tcBorders/>
            <w:shd w:fill="CCEEFF" w:val="clear"/>
            <w:tcMar>
              <w:bottom w:w="0" w:type="dxa"/>
            </w:tcMar>
            <w:vAlign w:val="center"/>
          </w:tcPr>
          <w:p>
            <w:pPr>
              <w:pStyle w:val="TableContents"/>
              <w:spacing w:before="0" w:after="283"/>
              <w:ind w:left="0" w:right="0" w:firstLine="160"/>
              <w:jc w:val="left"/>
              <w:rPr/>
            </w:pPr>
            <w:r>
              <w:rPr/>
              <w:t> </w:t>
            </w:r>
          </w:p>
        </w:tc>
      </w:tr>
      <w:tr>
        <w:trPr/>
        <w:tc>
          <w:tcPr>
            <w:tcW w:w="5420" w:type="dxa"/>
            <w:tcBorders/>
            <w:shd w:fill="FFFFFF" w:val="clear"/>
            <w:tcMar>
              <w:bottom w:w="0" w:type="dxa"/>
            </w:tcM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Tier 1 Capital Ratio </w:t>
            </w:r>
            <w:r>
              <w:rPr>
                <w:rFonts w:ascii="Times New Roman;Times;Serif" w:hAnsi="Times New Roman;Times;Serif"/>
                <w:b w:val="false"/>
                <w:i w:val="false"/>
                <w:caps w:val="false"/>
                <w:smallCaps w:val="false"/>
                <w:position w:val="7"/>
                <w:sz w:val="16"/>
                <w:sz w:val="20"/>
              </w:rPr>
              <w:t>(7)</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14.7</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15.9</w:t>
            </w:r>
          </w:p>
        </w:tc>
        <w:tc>
          <w:tcPr>
            <w:tcW w:w="215" w:type="dxa"/>
            <w:tcBorders>
              <w:right w:val="single" w:sz="8" w:space="0" w:color="000000"/>
            </w:tcBorders>
            <w:shd w:fill="FFFFFF" w:val="clear"/>
            <w:tcMar>
              <w:bottom w:w="0" w:type="dxa"/>
              <w:right w:w="28"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14.7</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15.2</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15.9</w:t>
            </w:r>
          </w:p>
        </w:tc>
        <w:tc>
          <w:tcPr>
            <w:tcW w:w="390" w:type="dxa"/>
            <w:tcBorders/>
            <w:shd w:fill="FFFFFF" w:val="clear"/>
            <w:tcMar>
              <w:bottom w:w="0" w:type="dxa"/>
            </w:tcMar>
            <w:vAlign w:val="center"/>
          </w:tcPr>
          <w:p>
            <w:pPr>
              <w:pStyle w:val="TableContents"/>
              <w:spacing w:before="0" w:after="283"/>
              <w:ind w:left="0" w:right="0" w:firstLine="160"/>
              <w:jc w:val="left"/>
              <w:rPr/>
            </w:pPr>
            <w:r>
              <w:rPr/>
              <w:t>%</w:t>
            </w:r>
          </w:p>
        </w:tc>
      </w:tr>
      <w:tr>
        <w:trPr/>
        <w:tc>
          <w:tcPr>
            <w:tcW w:w="5420" w:type="dxa"/>
            <w:tcBorders/>
            <w:shd w:fill="CCEEFF" w:val="clear"/>
            <w:tcMar>
              <w:bottom w:w="0" w:type="dxa"/>
            </w:tcM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Leverage (times) </w:t>
            </w:r>
            <w:r>
              <w:rPr>
                <w:rFonts w:ascii="Times New Roman;Times;Serif" w:hAnsi="Times New Roman;Times;Serif"/>
                <w:b w:val="false"/>
                <w:i w:val="false"/>
                <w:caps w:val="false"/>
                <w:smallCaps w:val="false"/>
                <w:position w:val="7"/>
                <w:sz w:val="16"/>
                <w:sz w:val="20"/>
              </w:rPr>
              <w:t>(8)</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8.6</w:t>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8.9</w:t>
            </w:r>
          </w:p>
        </w:tc>
        <w:tc>
          <w:tcPr>
            <w:tcW w:w="215" w:type="dxa"/>
            <w:tcBorders>
              <w:right w:val="single" w:sz="8" w:space="0" w:color="000000"/>
            </w:tcBorders>
            <w:shd w:fill="CCEEFF" w:val="clear"/>
            <w:tcMar>
              <w:bottom w:w="0" w:type="dxa"/>
              <w:right w:w="28"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8.6</w:t>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8.6</w:t>
            </w:r>
          </w:p>
        </w:tc>
        <w:tc>
          <w:tcPr>
            <w:tcW w:w="21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8.9</w:t>
            </w:r>
          </w:p>
        </w:tc>
        <w:tc>
          <w:tcPr>
            <w:tcW w:w="390" w:type="dxa"/>
            <w:tcBorders/>
            <w:shd w:fill="CCEEFF" w:val="clear"/>
            <w:tcMar>
              <w:bottom w:w="0" w:type="dxa"/>
            </w:tcMar>
            <w:vAlign w:val="center"/>
          </w:tcPr>
          <w:p>
            <w:pPr>
              <w:pStyle w:val="TableContents"/>
              <w:spacing w:before="0" w:after="283"/>
              <w:ind w:left="0" w:right="0" w:firstLine="160"/>
              <w:jc w:val="left"/>
              <w:rPr/>
            </w:pPr>
            <w:r>
              <w:rPr/>
              <w:t> </w:t>
            </w:r>
          </w:p>
        </w:tc>
      </w:tr>
      <w:tr>
        <w:trPr/>
        <w:tc>
          <w:tcPr>
            <w:tcW w:w="5420" w:type="dxa"/>
            <w:tcBorders/>
            <w:shd w:fill="FFFFFF" w:val="clear"/>
            <w:tcMar>
              <w:bottom w:w="0" w:type="dxa"/>
            </w:tcM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Liquid Assets / Total Assets </w:t>
            </w:r>
            <w:r>
              <w:rPr>
                <w:rFonts w:ascii="Times New Roman;Times;Serif" w:hAnsi="Times New Roman;Times;Serif"/>
                <w:b w:val="false"/>
                <w:i w:val="false"/>
                <w:caps w:val="false"/>
                <w:smallCaps w:val="false"/>
                <w:position w:val="7"/>
                <w:sz w:val="16"/>
                <w:sz w:val="20"/>
              </w:rPr>
              <w:t>(9)</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8.1</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11.5</w:t>
            </w:r>
          </w:p>
        </w:tc>
        <w:tc>
          <w:tcPr>
            <w:tcW w:w="215" w:type="dxa"/>
            <w:tcBorders>
              <w:right w:val="single" w:sz="8" w:space="0" w:color="000000"/>
            </w:tcBorders>
            <w:shd w:fill="FFFFFF" w:val="clear"/>
            <w:tcMar>
              <w:bottom w:w="0" w:type="dxa"/>
              <w:right w:w="28"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8.1</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9.6</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11.5</w:t>
            </w:r>
          </w:p>
        </w:tc>
        <w:tc>
          <w:tcPr>
            <w:tcW w:w="390" w:type="dxa"/>
            <w:tcBorders/>
            <w:shd w:fill="FFFFFF" w:val="clear"/>
            <w:tcMar>
              <w:bottom w:w="0" w:type="dxa"/>
            </w:tcMar>
            <w:vAlign w:val="center"/>
          </w:tcPr>
          <w:p>
            <w:pPr>
              <w:pStyle w:val="TableContents"/>
              <w:spacing w:before="0" w:after="283"/>
              <w:ind w:left="0" w:right="0" w:firstLine="160"/>
              <w:jc w:val="left"/>
              <w:rPr/>
            </w:pPr>
            <w:r>
              <w:rPr/>
              <w:t>%</w:t>
            </w:r>
          </w:p>
        </w:tc>
      </w:tr>
      <w:tr>
        <w:trPr/>
        <w:tc>
          <w:tcPr>
            <w:tcW w:w="5420" w:type="dxa"/>
            <w:tcBorders/>
            <w:shd w:fill="CCEEFF" w:val="clear"/>
            <w:tcMar>
              <w:bottom w:w="0" w:type="dxa"/>
            </w:tcMar>
            <w:vAlign w:val="center"/>
          </w:tcPr>
          <w:p>
            <w:pPr>
              <w:pStyle w:val="TableContents"/>
              <w:spacing w:before="0" w:after="283"/>
              <w:jc w:val="left"/>
              <w:rPr/>
            </w:pPr>
            <w:r>
              <w:rPr/>
              <w:t>Non-Accruing Loans to Total Loans, net of discounts</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0.06</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0.00</w:t>
            </w:r>
          </w:p>
        </w:tc>
        <w:tc>
          <w:tcPr>
            <w:tcW w:w="215" w:type="dxa"/>
            <w:tcBorders>
              <w:right w:val="single" w:sz="8" w:space="0" w:color="000000"/>
            </w:tcBorders>
            <w:shd w:fill="CCEEFF" w:val="clear"/>
            <w:tcMar>
              <w:bottom w:w="0" w:type="dxa"/>
              <w:right w:w="28"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0.06</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0.06</w:t>
            </w:r>
          </w:p>
        </w:tc>
        <w:tc>
          <w:tcPr>
            <w:tcW w:w="21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40" w:type="dxa"/>
            <w:tcBorders/>
            <w:shd w:fill="CCEEFF" w:val="clear"/>
            <w:tcMar>
              <w:bottom w:w="0" w:type="dxa"/>
            </w:tcMar>
            <w:vAlign w:val="center"/>
          </w:tcPr>
          <w:p>
            <w:pPr>
              <w:pStyle w:val="TableContents"/>
              <w:spacing w:before="0" w:after="283"/>
              <w:jc w:val="left"/>
              <w:rPr/>
            </w:pPr>
            <w:r>
              <w:rPr/>
              <w:t> </w:t>
            </w:r>
          </w:p>
        </w:tc>
        <w:tc>
          <w:tcPr>
            <w:tcW w:w="560" w:type="dxa"/>
            <w:tcBorders/>
            <w:shd w:fill="CCEEFF" w:val="clear"/>
            <w:tcMar>
              <w:bottom w:w="0" w:type="dxa"/>
            </w:tcMar>
            <w:vAlign w:val="center"/>
          </w:tcPr>
          <w:p>
            <w:pPr>
              <w:pStyle w:val="TableContents"/>
              <w:spacing w:before="0" w:after="283"/>
              <w:jc w:val="right"/>
              <w:rPr/>
            </w:pPr>
            <w:r>
              <w:rPr/>
              <w:t>0.00</w:t>
            </w:r>
          </w:p>
        </w:tc>
        <w:tc>
          <w:tcPr>
            <w:tcW w:w="390" w:type="dxa"/>
            <w:tcBorders/>
            <w:shd w:fill="CCEEFF" w:val="clear"/>
            <w:tcMar>
              <w:bottom w:w="0" w:type="dxa"/>
            </w:tcMar>
            <w:vAlign w:val="center"/>
          </w:tcPr>
          <w:p>
            <w:pPr>
              <w:pStyle w:val="TableContents"/>
              <w:spacing w:before="0" w:after="283"/>
              <w:ind w:left="0" w:right="0" w:firstLine="160"/>
              <w:jc w:val="left"/>
              <w:rPr/>
            </w:pPr>
            <w:r>
              <w:rPr/>
              <w:t>%</w:t>
            </w:r>
          </w:p>
        </w:tc>
      </w:tr>
      <w:tr>
        <w:trPr/>
        <w:tc>
          <w:tcPr>
            <w:tcW w:w="5420" w:type="dxa"/>
            <w:tcBorders/>
            <w:shd w:fill="FFFFFF" w:val="clear"/>
            <w:tcMar>
              <w:bottom w:w="0" w:type="dxa"/>
            </w:tcMar>
            <w:vAlign w:val="center"/>
          </w:tcPr>
          <w:p>
            <w:pPr>
              <w:pStyle w:val="TableContents"/>
              <w:spacing w:before="0" w:after="283"/>
              <w:jc w:val="left"/>
              <w:rPr/>
            </w:pPr>
            <w:r>
              <w:rPr/>
              <w:t>Allowance for Credit Losses to Commercial Portfolio</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1.19</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1.20</w:t>
            </w:r>
          </w:p>
        </w:tc>
        <w:tc>
          <w:tcPr>
            <w:tcW w:w="215" w:type="dxa"/>
            <w:tcBorders>
              <w:right w:val="single" w:sz="8" w:space="0" w:color="000000"/>
            </w:tcBorders>
            <w:shd w:fill="FFFFFF" w:val="clear"/>
            <w:tcMar>
              <w:bottom w:w="0" w:type="dxa"/>
              <w:right w:w="28"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1.19</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1.18</w:t>
            </w:r>
          </w:p>
        </w:tc>
        <w:tc>
          <w:tcPr>
            <w:tcW w:w="21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4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1.20</w:t>
            </w:r>
          </w:p>
        </w:tc>
        <w:tc>
          <w:tcPr>
            <w:tcW w:w="390" w:type="dxa"/>
            <w:tcBorders/>
            <w:shd w:fill="FFFFFF" w:val="clear"/>
            <w:tcMar>
              <w:bottom w:w="0" w:type="dxa"/>
            </w:tcMar>
            <w:vAlign w:val="center"/>
          </w:tcPr>
          <w:p>
            <w:pPr>
              <w:pStyle w:val="TableContents"/>
              <w:spacing w:before="0" w:after="283"/>
              <w:jc w:val="left"/>
              <w:rPr/>
            </w:pPr>
            <w:r>
              <w:rPr/>
              <w:t>%</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CEO's Comments</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Mr. Rubens V. Amaral, Jr., Bladex’s Chief Executive Officer, stated the following regarding the Bank’s Third Quarter 2014 results: “As 2014 draws to a close I would like to take this opportunity to briefly convey our views on current environment and trends for 2015.  We all are aware of diverging growth dynamics in the global economy, exacerbated by growing political tensions in various parts of the world, including, to a lesser extent, Latin America.  The Region has seen a slowing of growth in various economies, with the two largest, Brazil and Mexico, presenting full year growth forecasts that are well below projections made at the beginning of the year.  Also, commodity prices have decreased, posing a challenge to the sustainability of economic growth in a Region which is still largely dependent on the primary sector.</w:t>
      </w:r>
    </w:p>
    <w:p>
      <w:pPr>
        <w:pStyle w:val="TextBody"/>
        <w:spacing w:before="0" w:after="0"/>
        <w:ind w:left="0" w:right="0" w:hanging="0"/>
        <w:jc w:val="both"/>
        <w:rPr>
          <w:caps w:val="false"/>
          <w:smallCaps w:val="false"/>
        </w:rPr>
      </w:pPr>
      <w:r>
        <w:rPr>
          <w:caps w:val="false"/>
          <w:smallCaps w:val="false"/>
        </w:rPr>
        <w:t> </w:t>
      </w:r>
    </w:p>
    <w:tbl>
      <w:tblPr>
        <w:tblW w:w="170" w:type="dxa"/>
        <w:jc w:val="left"/>
        <w:tblInd w:w="0" w:type="dxa"/>
        <w:tblCellMar>
          <w:top w:w="0" w:type="dxa"/>
          <w:left w:w="0" w:type="dxa"/>
          <w:bottom w:w="0" w:type="dxa"/>
          <w:right w:w="0" w:type="dxa"/>
        </w:tblCellMar>
      </w:tblPr>
      <w:tblGrid>
        <w:gridCol w:w="170"/>
      </w:tblGrid>
      <w:tr>
        <w:trPr/>
        <w:tc>
          <w:tcPr>
            <w:tcW w:w="170" w:type="dxa"/>
            <w:tcBorders/>
            <w:shd w:fill="auto" w:val="clear"/>
            <w:vAlign w:val="center"/>
          </w:tcPr>
          <w:p>
            <w:pPr>
              <w:pStyle w:val="TableContents"/>
              <w:spacing w:before="0" w:after="283"/>
              <w:jc w:val="right"/>
              <w:rPr/>
            </w:pPr>
            <w:r>
              <w:rPr/>
              <w:t>2</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Despite these trends, Bladex has been able to harness significant growth in its business activities, which should see us on track to achieve the portfolio growth of 10% to 13% that was originally envisioned for 2014.  This growth has not been achieved at the expense of earnings quality, as revenues diversification progresses, and as risk indicators continue to signal a stable, well diversified risk profile.  Ongoing efforts to increase the efficiency in the way we do business have started to yield results as business growth outpaces related expenses.  All the above is making its mark on Bladex´s bottom line, as third quarter results attest.</w:t>
      </w:r>
    </w:p>
    <w:p>
      <w:pPr>
        <w:pStyle w:val="TextBody"/>
        <w:spacing w:before="0" w:after="0"/>
        <w:ind w:left="0" w:right="0" w:firstLine="72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One of the key benefits of Bladex´s inherent short-tenor portfolio profile is that we are able to react very swiftly to changes in the business climate, by re-positioning individual client and country exposures to pro-actively avoid risks that would fall outside of our conservatively framed risk appetite.  At the same time, our portfolio diversification allows us to redeploy our resources to other sectors, or other parts of the Region that are less impacted, or even benefit from these changes in the business environment.  Our policies and business practices do not allow for any material uncovered foreign exchange exposures, nor do they allow the Bank to be exposed to significant interest rate or other market risks.  All these factors are conducive to a gradual rise in profitability of our business, and to increased strength and quality of earnings achieved over the last quarters and years.  The third quarter results highlight, then, the Bank´s ability to deliver solid results not only in the best of times.</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we look ahead to 2015, GDP growth in the Region is forecasted to moderately improve over a modest 2014, which should bring about enhanced growth prospects for Bladex next year.  But, irrespective of whether these growth expectations will actually be met or not, Bladex will continue to focus on its core strengths, and will seek to further improve efficiency levels while diversifying revenue streams,” Mr. Amaral concluded.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RECENT EVENTS</w:t>
      </w:r>
    </w:p>
    <w:p>
      <w:pPr>
        <w:pStyle w:val="TextBody"/>
        <w:spacing w:before="0" w:after="0"/>
        <w:ind w:left="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140"/>
        <w:gridCol w:w="10028"/>
      </w:tblGrid>
      <w:tr>
        <w:trPr/>
        <w:tc>
          <w:tcPr>
            <w:tcW w:w="37" w:type="dxa"/>
            <w:tcBorders/>
            <w:shd w:fill="auto" w:val="clear"/>
            <w:vAlign w:val="center"/>
          </w:tcPr>
          <w:p>
            <w:pPr>
              <w:pStyle w:val="TableContents"/>
              <w:spacing w:before="0" w:after="283"/>
              <w:rPr>
                <w:sz w:val="4"/>
                <w:szCs w:val="4"/>
              </w:rPr>
            </w:pPr>
            <w:r>
              <w:rPr>
                <w:sz w:val="4"/>
                <w:szCs w:val="4"/>
              </w:rPr>
            </w:r>
          </w:p>
        </w:tc>
        <w:tc>
          <w:tcPr>
            <w:tcW w:w="140" w:type="dxa"/>
            <w:tcBorders/>
            <w:shd w:fill="auto" w:val="clear"/>
            <w:vAlign w:val="center"/>
          </w:tcPr>
          <w:p>
            <w:pPr>
              <w:pStyle w:val="TableContents"/>
              <w:spacing w:before="0" w:after="283"/>
              <w:rPr>
                <w:rFonts w:ascii="Wingdings" w:hAnsi="Wingdings"/>
              </w:rPr>
            </w:pPr>
            <w:r>
              <w:rPr>
                <w:rFonts w:ascii="Wingdings" w:hAnsi="Wingdings"/>
              </w:rPr>
              <w:t>§</w:t>
            </w:r>
          </w:p>
        </w:tc>
        <w:tc>
          <w:tcPr>
            <w:tcW w:w="10028"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b/>
              </w:rPr>
              <w:t xml:space="preserve">Quarterly dividend payment: </w:t>
            </w:r>
            <w:r>
              <w:rPr>
                <w:rFonts w:ascii="Times New Roman;Times;Serif" w:hAnsi="Times New Roman;Times;Serif"/>
              </w:rPr>
              <w:t>At the Board of Director’s meeting held October 13, 2014, the Bank’s Board approved a quarterly common dividend of $0.35 per share corresponding to the third quarter 2014. The dividend will be paid on November 7, 2014, to stockholders registered as of October 27, 2014.</w:t>
            </w:r>
          </w:p>
        </w:tc>
      </w:tr>
    </w:tbl>
    <w:p>
      <w:pPr>
        <w:pStyle w:val="TextBody"/>
        <w:spacing w:before="0" w:after="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140"/>
        <w:gridCol w:w="10028"/>
      </w:tblGrid>
      <w:tr>
        <w:trPr/>
        <w:tc>
          <w:tcPr>
            <w:tcW w:w="37" w:type="dxa"/>
            <w:tcBorders/>
            <w:shd w:fill="auto" w:val="clear"/>
            <w:vAlign w:val="center"/>
          </w:tcPr>
          <w:p>
            <w:pPr>
              <w:pStyle w:val="TableContents"/>
              <w:spacing w:before="0" w:after="283"/>
              <w:rPr>
                <w:sz w:val="4"/>
                <w:szCs w:val="4"/>
              </w:rPr>
            </w:pPr>
            <w:r>
              <w:rPr>
                <w:sz w:val="4"/>
                <w:szCs w:val="4"/>
              </w:rPr>
            </w:r>
          </w:p>
        </w:tc>
        <w:tc>
          <w:tcPr>
            <w:tcW w:w="140" w:type="dxa"/>
            <w:tcBorders/>
            <w:shd w:fill="auto" w:val="clear"/>
            <w:vAlign w:val="center"/>
          </w:tcPr>
          <w:p>
            <w:pPr>
              <w:pStyle w:val="TableContents"/>
              <w:spacing w:before="0" w:after="283"/>
              <w:rPr>
                <w:rFonts w:ascii="Wingdings" w:hAnsi="Wingdings"/>
              </w:rPr>
            </w:pPr>
            <w:r>
              <w:rPr>
                <w:rFonts w:ascii="Wingdings" w:hAnsi="Wingdings"/>
              </w:rPr>
              <w:t>§</w:t>
            </w:r>
          </w:p>
        </w:tc>
        <w:tc>
          <w:tcPr>
            <w:tcW w:w="10028"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b/>
              </w:rPr>
              <w:t xml:space="preserve">Ratings affirmed: </w:t>
            </w:r>
            <w:r>
              <w:rPr>
                <w:rFonts w:ascii="Times New Roman;Times;Serif" w:hAnsi="Times New Roman;Times;Serif"/>
              </w:rPr>
              <w:t>On July 29, 2014, Fitch Ratings affirmed the Bank’s long- and short-term foreign currency Issuer Default Rating at BBB+/F2 respectively; with a “Stable” Outlook.</w:t>
            </w:r>
          </w:p>
        </w:tc>
      </w:tr>
    </w:tbl>
    <w:p>
      <w:pPr>
        <w:pStyle w:val="TextBody"/>
        <w:spacing w:before="0" w:after="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140"/>
        <w:gridCol w:w="10028"/>
      </w:tblGrid>
      <w:tr>
        <w:trPr/>
        <w:tc>
          <w:tcPr>
            <w:tcW w:w="37" w:type="dxa"/>
            <w:tcBorders/>
            <w:shd w:fill="auto" w:val="clear"/>
            <w:vAlign w:val="center"/>
          </w:tcPr>
          <w:p>
            <w:pPr>
              <w:pStyle w:val="TableContents"/>
              <w:spacing w:before="0" w:after="283"/>
              <w:rPr>
                <w:sz w:val="4"/>
                <w:szCs w:val="4"/>
              </w:rPr>
            </w:pPr>
            <w:r>
              <w:rPr>
                <w:sz w:val="4"/>
                <w:szCs w:val="4"/>
              </w:rPr>
            </w:r>
          </w:p>
        </w:tc>
        <w:tc>
          <w:tcPr>
            <w:tcW w:w="140" w:type="dxa"/>
            <w:tcBorders/>
            <w:shd w:fill="auto" w:val="clear"/>
            <w:vAlign w:val="center"/>
          </w:tcPr>
          <w:p>
            <w:pPr>
              <w:pStyle w:val="TableContents"/>
              <w:spacing w:before="0" w:after="283"/>
              <w:rPr>
                <w:rFonts w:ascii="Wingdings" w:hAnsi="Wingdings"/>
              </w:rPr>
            </w:pPr>
            <w:r>
              <w:rPr>
                <w:rFonts w:ascii="Wingdings" w:hAnsi="Wingdings"/>
              </w:rPr>
              <w:t>§</w:t>
            </w:r>
          </w:p>
        </w:tc>
        <w:tc>
          <w:tcPr>
            <w:tcW w:w="10028"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b/>
              </w:rPr>
              <w:t xml:space="preserve">Risk-sharing facility to support key commodities businesses in Latin America: </w:t>
            </w:r>
            <w:r>
              <w:rPr>
                <w:rFonts w:ascii="Times New Roman;Times;Serif" w:hAnsi="Times New Roman;Times;Serif"/>
              </w:rPr>
              <w:t>On July 21, 2014, the International Finance Corporation (“IFC”) and Bladex signed a risk-sharing facility of up to $350 million to enable enhanced access to trade finance for key commodities businesses in Latin America in order to contribute to regional food security. The three-year extendable facility consists of trade and commodity-related transactions, including short-term, pre-export and post-import financings, originated by Bladex through its network of corporate clients, and provides financing for the production, processing, and trade of key commodities in nine countries across Latin America.</w:t>
            </w:r>
          </w:p>
        </w:tc>
      </w:tr>
    </w:tbl>
    <w:p>
      <w:pPr>
        <w:pStyle w:val="TextBody"/>
        <w:spacing w:before="0" w:after="0"/>
        <w:rPr>
          <w:caps w:val="false"/>
          <w:smallCaps w:val="false"/>
        </w:rPr>
      </w:pPr>
      <w:r>
        <w:rPr>
          <w:caps w:val="false"/>
          <w:smallCaps w:val="false"/>
        </w:rPr>
        <w:t>  </w:t>
      </w:r>
    </w:p>
    <w:tbl>
      <w:tblPr>
        <w:tblW w:w="170" w:type="dxa"/>
        <w:jc w:val="left"/>
        <w:tblInd w:w="0" w:type="dxa"/>
        <w:tblCellMar>
          <w:top w:w="0" w:type="dxa"/>
          <w:left w:w="0" w:type="dxa"/>
          <w:bottom w:w="0" w:type="dxa"/>
          <w:right w:w="0" w:type="dxa"/>
        </w:tblCellMar>
      </w:tblPr>
      <w:tblGrid>
        <w:gridCol w:w="170"/>
      </w:tblGrid>
      <w:tr>
        <w:trPr/>
        <w:tc>
          <w:tcPr>
            <w:tcW w:w="170" w:type="dxa"/>
            <w:tcBorders/>
            <w:shd w:fill="auto" w:val="clear"/>
            <w:vAlign w:val="center"/>
          </w:tcPr>
          <w:p>
            <w:pPr>
              <w:pStyle w:val="TableContents"/>
              <w:spacing w:before="0" w:after="283"/>
              <w:jc w:val="right"/>
              <w:rPr/>
            </w:pPr>
            <w:r>
              <w:rPr/>
              <w:t>3</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 xml:space="preserve">Note: </w:t>
      </w:r>
      <w:r>
        <w:rPr>
          <w:rFonts w:ascii="Times New Roman;Times;Serif" w:hAnsi="Times New Roman;Times;Serif"/>
          <w:b w:val="false"/>
          <w:i w:val="false"/>
          <w:caps w:val="false"/>
          <w:smallCaps w:val="false"/>
          <w:sz w:val="20"/>
        </w:rPr>
        <w:t xml:space="preserve">Numbers and percentages set forth in this press release may not add due to rounding.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Footnotes:</w:t>
      </w:r>
    </w:p>
    <w:p>
      <w:pPr>
        <w:pStyle w:val="TextBody"/>
        <w:spacing w:before="0" w:after="0"/>
        <w:ind w:left="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283"/>
        <w:gridCol w:w="9885"/>
      </w:tblGrid>
      <w:tr>
        <w:trPr/>
        <w:tc>
          <w:tcPr>
            <w:tcW w:w="37" w:type="dxa"/>
            <w:tcBorders/>
            <w:shd w:fill="auto" w:val="clear"/>
            <w:vAlign w:val="center"/>
          </w:tcPr>
          <w:p>
            <w:pPr>
              <w:pStyle w:val="TableContents"/>
              <w:spacing w:before="0" w:after="283"/>
              <w:rPr>
                <w:sz w:val="4"/>
                <w:szCs w:val="4"/>
              </w:rPr>
            </w:pPr>
            <w:r>
              <w:rPr>
                <w:sz w:val="4"/>
                <w:szCs w:val="4"/>
              </w:rPr>
            </w:r>
          </w:p>
        </w:tc>
        <w:tc>
          <w:tcPr>
            <w:tcW w:w="283" w:type="dxa"/>
            <w:tcBorders/>
            <w:shd w:fill="auto" w:val="clear"/>
            <w:vAlign w:val="center"/>
          </w:tcPr>
          <w:p>
            <w:pPr>
              <w:pStyle w:val="TableContents"/>
              <w:spacing w:before="0" w:after="283"/>
              <w:rPr/>
            </w:pPr>
            <w:r>
              <w:rPr/>
              <w:t>(1)</w:t>
            </w:r>
          </w:p>
        </w:tc>
        <w:tc>
          <w:tcPr>
            <w:tcW w:w="9885" w:type="dxa"/>
            <w:tcBorders/>
            <w:shd w:fill="auto" w:val="clear"/>
            <w:vAlign w:val="center"/>
          </w:tcPr>
          <w:p>
            <w:pPr>
              <w:pStyle w:val="TableContents"/>
              <w:spacing w:before="0" w:after="283"/>
              <w:jc w:val="both"/>
              <w:rPr/>
            </w:pPr>
            <w:r>
              <w:rPr/>
              <w:t>Business Net Income refers to Net income or loss attributable to Bladex Stockholders, deducting non-core items.</w:t>
            </w:r>
          </w:p>
        </w:tc>
      </w:tr>
    </w:tbl>
    <w:p>
      <w:pPr>
        <w:pStyle w:val="TextBody"/>
        <w:spacing w:before="0" w:after="0"/>
        <w:ind w:left="72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238"/>
        <w:gridCol w:w="9930"/>
      </w:tblGrid>
      <w:tr>
        <w:trPr/>
        <w:tc>
          <w:tcPr>
            <w:tcW w:w="37" w:type="dxa"/>
            <w:tcBorders/>
            <w:shd w:fill="auto" w:val="clear"/>
            <w:vAlign w:val="center"/>
          </w:tcPr>
          <w:p>
            <w:pPr>
              <w:pStyle w:val="TableContents"/>
              <w:spacing w:before="0" w:after="283"/>
              <w:rPr>
                <w:sz w:val="4"/>
                <w:szCs w:val="4"/>
              </w:rPr>
            </w:pPr>
            <w:r>
              <w:rPr>
                <w:sz w:val="4"/>
                <w:szCs w:val="4"/>
              </w:rPr>
            </w:r>
          </w:p>
        </w:tc>
        <w:tc>
          <w:tcPr>
            <w:tcW w:w="238" w:type="dxa"/>
            <w:tcBorders/>
            <w:shd w:fill="auto" w:val="clear"/>
            <w:vAlign w:val="center"/>
          </w:tcPr>
          <w:p>
            <w:pPr>
              <w:pStyle w:val="TableContents"/>
              <w:spacing w:before="0" w:after="283"/>
              <w:rPr/>
            </w:pPr>
            <w:r>
              <w:rPr/>
              <w:t>(2)</w:t>
            </w:r>
          </w:p>
        </w:tc>
        <w:tc>
          <w:tcPr>
            <w:tcW w:w="9930" w:type="dxa"/>
            <w:tcBorders/>
            <w:shd w:fill="auto" w:val="clear"/>
            <w:vAlign w:val="center"/>
          </w:tcPr>
          <w:p>
            <w:pPr>
              <w:pStyle w:val="TableContents"/>
              <w:spacing w:before="0" w:after="283"/>
              <w:jc w:val="both"/>
              <w:rPr/>
            </w:pPr>
            <w:r>
              <w:rPr/>
              <w:t>Non-Core Items includes: net results from the participations in the investment funds (net interest income, net gain (loss) from investment funds, and expenses from investment funds), net results from discontinued operations, and net income (loss) attributable to the redeemable non-controlling interest.</w:t>
            </w:r>
          </w:p>
        </w:tc>
      </w:tr>
    </w:tbl>
    <w:p>
      <w:pPr>
        <w:pStyle w:val="TextBody"/>
        <w:spacing w:before="0" w:after="0"/>
        <w:ind w:left="72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45"/>
        <w:gridCol w:w="346"/>
        <w:gridCol w:w="9814"/>
      </w:tblGrid>
      <w:tr>
        <w:trPr/>
        <w:tc>
          <w:tcPr>
            <w:tcW w:w="45" w:type="dxa"/>
            <w:tcBorders/>
            <w:shd w:fill="auto" w:val="clear"/>
            <w:vAlign w:val="center"/>
          </w:tcPr>
          <w:p>
            <w:pPr>
              <w:pStyle w:val="TableContents"/>
              <w:spacing w:before="0" w:after="283"/>
              <w:rPr>
                <w:sz w:val="4"/>
                <w:szCs w:val="4"/>
              </w:rPr>
            </w:pPr>
            <w:r>
              <w:rPr>
                <w:sz w:val="4"/>
                <w:szCs w:val="4"/>
              </w:rPr>
            </w:r>
          </w:p>
        </w:tc>
        <w:tc>
          <w:tcPr>
            <w:tcW w:w="346" w:type="dxa"/>
            <w:tcBorders/>
            <w:shd w:fill="auto" w:val="clear"/>
            <w:vAlign w:val="center"/>
          </w:tcPr>
          <w:p>
            <w:pPr>
              <w:pStyle w:val="TableContents"/>
              <w:spacing w:before="0" w:after="283"/>
              <w:rPr/>
            </w:pPr>
            <w:r>
              <w:rPr/>
              <w:t>(3)</w:t>
            </w:r>
          </w:p>
        </w:tc>
        <w:tc>
          <w:tcPr>
            <w:tcW w:w="9814" w:type="dxa"/>
            <w:tcBorders/>
            <w:shd w:fill="auto" w:val="clear"/>
            <w:vAlign w:val="center"/>
          </w:tcPr>
          <w:p>
            <w:pPr>
              <w:pStyle w:val="TableContents"/>
              <w:spacing w:before="0" w:after="283"/>
              <w:jc w:val="both"/>
              <w:rPr/>
            </w:pPr>
            <w:r>
              <w:rPr/>
              <w:t>Net income or loss attributable to Bladex Stockholders (“Net Income”, or “Net Loss”).</w:t>
            </w:r>
          </w:p>
        </w:tc>
      </w:tr>
    </w:tbl>
    <w:p>
      <w:pPr>
        <w:pStyle w:val="TextBody"/>
        <w:spacing w:before="0" w:after="0"/>
        <w:ind w:left="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281"/>
        <w:gridCol w:w="9887"/>
      </w:tblGrid>
      <w:tr>
        <w:trPr/>
        <w:tc>
          <w:tcPr>
            <w:tcW w:w="37" w:type="dxa"/>
            <w:tcBorders/>
            <w:shd w:fill="auto" w:val="clear"/>
            <w:vAlign w:val="center"/>
          </w:tcPr>
          <w:p>
            <w:pPr>
              <w:pStyle w:val="TableContents"/>
              <w:spacing w:before="0" w:after="283"/>
              <w:rPr>
                <w:sz w:val="4"/>
                <w:szCs w:val="4"/>
              </w:rPr>
            </w:pPr>
            <w:r>
              <w:rPr>
                <w:sz w:val="4"/>
                <w:szCs w:val="4"/>
              </w:rPr>
            </w:r>
          </w:p>
        </w:tc>
        <w:tc>
          <w:tcPr>
            <w:tcW w:w="281" w:type="dxa"/>
            <w:tcBorders/>
            <w:shd w:fill="auto" w:val="clear"/>
            <w:vAlign w:val="center"/>
          </w:tcPr>
          <w:p>
            <w:pPr>
              <w:pStyle w:val="TableContents"/>
              <w:spacing w:before="0" w:after="283"/>
              <w:rPr/>
            </w:pPr>
            <w:r>
              <w:rPr/>
              <w:t>(4)</w:t>
            </w:r>
          </w:p>
        </w:tc>
        <w:tc>
          <w:tcPr>
            <w:tcW w:w="9887" w:type="dxa"/>
            <w:tcBorders/>
            <w:shd w:fill="auto" w:val="clear"/>
            <w:vAlign w:val="center"/>
          </w:tcPr>
          <w:p>
            <w:pPr>
              <w:pStyle w:val="TableContents"/>
              <w:spacing w:before="0" w:after="283"/>
              <w:jc w:val="both"/>
              <w:rPr/>
            </w:pPr>
            <w:r>
              <w:rPr/>
              <w:t>Earnings per Share (“EPS”) calculations are based on the average number of shares outstanding during each period.</w:t>
            </w:r>
          </w:p>
        </w:tc>
      </w:tr>
    </w:tbl>
    <w:p>
      <w:pPr>
        <w:pStyle w:val="TextBody"/>
        <w:spacing w:before="0" w:after="0"/>
        <w:ind w:left="72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42"/>
        <w:gridCol w:w="325"/>
        <w:gridCol w:w="9838"/>
      </w:tblGrid>
      <w:tr>
        <w:trPr/>
        <w:tc>
          <w:tcPr>
            <w:tcW w:w="42" w:type="dxa"/>
            <w:tcBorders/>
            <w:shd w:fill="auto" w:val="clear"/>
            <w:vAlign w:val="center"/>
          </w:tcPr>
          <w:p>
            <w:pPr>
              <w:pStyle w:val="TableContents"/>
              <w:spacing w:before="0" w:after="283"/>
              <w:rPr>
                <w:sz w:val="4"/>
                <w:szCs w:val="4"/>
              </w:rPr>
            </w:pPr>
            <w:r>
              <w:rPr>
                <w:sz w:val="4"/>
                <w:szCs w:val="4"/>
              </w:rPr>
            </w:r>
          </w:p>
        </w:tc>
        <w:tc>
          <w:tcPr>
            <w:tcW w:w="325" w:type="dxa"/>
            <w:tcBorders/>
            <w:shd w:fill="auto" w:val="clear"/>
            <w:vAlign w:val="center"/>
          </w:tcPr>
          <w:p>
            <w:pPr>
              <w:pStyle w:val="TableContents"/>
              <w:spacing w:before="0" w:after="283"/>
              <w:rPr/>
            </w:pPr>
            <w:r>
              <w:rPr/>
              <w:t>(5)</w:t>
            </w:r>
          </w:p>
        </w:tc>
        <w:tc>
          <w:tcPr>
            <w:tcW w:w="9838" w:type="dxa"/>
            <w:tcBorders/>
            <w:shd w:fill="auto" w:val="clear"/>
            <w:vAlign w:val="center"/>
          </w:tcPr>
          <w:p>
            <w:pPr>
              <w:pStyle w:val="TableContents"/>
              <w:spacing w:before="0" w:after="283"/>
              <w:jc w:val="both"/>
              <w:rPr/>
            </w:pPr>
            <w:r>
              <w:rPr/>
              <w:t>Business ROAE: Annualized Business Net Income divided by average stockholders’ equity.</w:t>
            </w:r>
          </w:p>
        </w:tc>
      </w:tr>
    </w:tbl>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242"/>
        <w:gridCol w:w="9926"/>
      </w:tblGrid>
      <w:tr>
        <w:trPr/>
        <w:tc>
          <w:tcPr>
            <w:tcW w:w="37" w:type="dxa"/>
            <w:tcBorders/>
            <w:shd w:fill="auto" w:val="clear"/>
            <w:vAlign w:val="center"/>
          </w:tcPr>
          <w:p>
            <w:pPr>
              <w:pStyle w:val="TableContents"/>
              <w:spacing w:before="0" w:after="283"/>
              <w:rPr>
                <w:sz w:val="4"/>
                <w:szCs w:val="4"/>
              </w:rPr>
            </w:pPr>
            <w:r>
              <w:rPr>
                <w:sz w:val="4"/>
                <w:szCs w:val="4"/>
              </w:rPr>
            </w:r>
          </w:p>
        </w:tc>
        <w:tc>
          <w:tcPr>
            <w:tcW w:w="242" w:type="dxa"/>
            <w:tcBorders/>
            <w:shd w:fill="auto" w:val="clear"/>
            <w:vAlign w:val="center"/>
          </w:tcPr>
          <w:p>
            <w:pPr>
              <w:pStyle w:val="TableContents"/>
              <w:spacing w:before="0" w:after="283"/>
              <w:rPr/>
            </w:pPr>
            <w:r>
              <w:rPr/>
              <w:t>(6)</w:t>
            </w:r>
          </w:p>
        </w:tc>
        <w:tc>
          <w:tcPr>
            <w:tcW w:w="9926" w:type="dxa"/>
            <w:tcBorders/>
            <w:shd w:fill="auto" w:val="clear"/>
            <w:vAlign w:val="center"/>
          </w:tcPr>
          <w:p>
            <w:pPr>
              <w:pStyle w:val="TableContents"/>
              <w:spacing w:before="0" w:after="283"/>
              <w:jc w:val="both"/>
              <w:rPr/>
            </w:pPr>
            <w:r>
              <w:rPr/>
              <w:t>Business Efficiency Ratio refers to consolidated operating expenses excluding expenses from the investment funds, as a percentage of net operating revenues excluding the net interest income from the investment funds and the net income (loss) from investment funds.</w:t>
            </w:r>
          </w:p>
        </w:tc>
      </w:tr>
    </w:tbl>
    <w:p>
      <w:pPr>
        <w:pStyle w:val="TextBody"/>
        <w:spacing w:before="0" w:after="0"/>
        <w:ind w:left="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235"/>
        <w:gridCol w:w="9933"/>
      </w:tblGrid>
      <w:tr>
        <w:trPr/>
        <w:tc>
          <w:tcPr>
            <w:tcW w:w="37"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pPr>
            <w:r>
              <w:rPr/>
              <w:t>(7)</w:t>
            </w:r>
          </w:p>
        </w:tc>
        <w:tc>
          <w:tcPr>
            <w:tcW w:w="9933" w:type="dxa"/>
            <w:tcBorders/>
            <w:shd w:fill="auto" w:val="clear"/>
            <w:vAlign w:val="center"/>
          </w:tcPr>
          <w:p>
            <w:pPr>
              <w:pStyle w:val="TableContents"/>
              <w:spacing w:before="0" w:after="283"/>
              <w:jc w:val="both"/>
              <w:rPr/>
            </w:pPr>
            <w:r>
              <w:rPr/>
              <w:t>Tier 1 Capital is calculated according to Basel I capital adequacy guidelines, and is equivalent to stockholders’ equity excluding the OCI effect of the available for sale portfolio. Tier 1 Capital ratio is calculated as a percentage of risk weighted assets. Risk-weighted assets are, in turn, also calculated based on Basel I capital adequacy guidelines.</w:t>
            </w:r>
          </w:p>
        </w:tc>
      </w:tr>
    </w:tbl>
    <w:p>
      <w:pPr>
        <w:pStyle w:val="TextBody"/>
        <w:spacing w:before="0" w:after="0"/>
        <w:ind w:left="72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60"/>
        <w:gridCol w:w="464"/>
        <w:gridCol w:w="9681"/>
      </w:tblGrid>
      <w:tr>
        <w:trPr/>
        <w:tc>
          <w:tcPr>
            <w:tcW w:w="60" w:type="dxa"/>
            <w:tcBorders/>
            <w:shd w:fill="auto" w:val="clear"/>
            <w:vAlign w:val="center"/>
          </w:tcPr>
          <w:p>
            <w:pPr>
              <w:pStyle w:val="TableContents"/>
              <w:spacing w:before="0" w:after="283"/>
              <w:rPr>
                <w:sz w:val="4"/>
                <w:szCs w:val="4"/>
              </w:rPr>
            </w:pPr>
            <w:r>
              <w:rPr>
                <w:sz w:val="4"/>
                <w:szCs w:val="4"/>
              </w:rPr>
            </w:r>
          </w:p>
        </w:tc>
        <w:tc>
          <w:tcPr>
            <w:tcW w:w="464" w:type="dxa"/>
            <w:tcBorders/>
            <w:shd w:fill="auto" w:val="clear"/>
            <w:vAlign w:val="center"/>
          </w:tcPr>
          <w:p>
            <w:pPr>
              <w:pStyle w:val="TableContents"/>
              <w:spacing w:before="0" w:after="283"/>
              <w:rPr/>
            </w:pPr>
            <w:r>
              <w:rPr/>
              <w:t>(8)</w:t>
            </w:r>
          </w:p>
        </w:tc>
        <w:tc>
          <w:tcPr>
            <w:tcW w:w="9681" w:type="dxa"/>
            <w:tcBorders/>
            <w:shd w:fill="auto" w:val="clear"/>
            <w:vAlign w:val="center"/>
          </w:tcPr>
          <w:p>
            <w:pPr>
              <w:pStyle w:val="TableContents"/>
              <w:spacing w:before="0" w:after="283"/>
              <w:jc w:val="both"/>
              <w:rPr/>
            </w:pPr>
            <w:r>
              <w:rPr/>
              <w:t>Leverage corresponds to assets divided by stockholders’ equity.</w:t>
            </w:r>
          </w:p>
        </w:tc>
      </w:tr>
    </w:tbl>
    <w:p>
      <w:pPr>
        <w:pStyle w:val="TextBody"/>
        <w:spacing w:before="0" w:after="0"/>
        <w:ind w:left="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252"/>
        <w:gridCol w:w="9916"/>
      </w:tblGrid>
      <w:tr>
        <w:trPr/>
        <w:tc>
          <w:tcPr>
            <w:tcW w:w="37" w:type="dxa"/>
            <w:tcBorders/>
            <w:shd w:fill="auto" w:val="clear"/>
            <w:vAlign w:val="center"/>
          </w:tcPr>
          <w:p>
            <w:pPr>
              <w:pStyle w:val="TableContents"/>
              <w:spacing w:before="0" w:after="283"/>
              <w:rPr>
                <w:sz w:val="4"/>
                <w:szCs w:val="4"/>
              </w:rPr>
            </w:pPr>
            <w:r>
              <w:rPr>
                <w:sz w:val="4"/>
                <w:szCs w:val="4"/>
              </w:rPr>
            </w:r>
          </w:p>
        </w:tc>
        <w:tc>
          <w:tcPr>
            <w:tcW w:w="252" w:type="dxa"/>
            <w:tcBorders/>
            <w:shd w:fill="auto" w:val="clear"/>
            <w:vAlign w:val="center"/>
          </w:tcPr>
          <w:p>
            <w:pPr>
              <w:pStyle w:val="TableContents"/>
              <w:spacing w:before="0" w:after="283"/>
              <w:rPr/>
            </w:pPr>
            <w:r>
              <w:rPr/>
              <w:t>(9)</w:t>
            </w:r>
          </w:p>
        </w:tc>
        <w:tc>
          <w:tcPr>
            <w:tcW w:w="9916" w:type="dxa"/>
            <w:tcBorders/>
            <w:shd w:fill="auto" w:val="clear"/>
            <w:vAlign w:val="center"/>
          </w:tcPr>
          <w:p>
            <w:pPr>
              <w:pStyle w:val="TableContents"/>
              <w:spacing w:before="0" w:after="283"/>
              <w:jc w:val="both"/>
              <w:rPr/>
            </w:pPr>
            <w:r>
              <w:rPr/>
              <w:t>Liquid assets consist of investment-grade ‘A’ securities, and cash and due from banks, excluding pledged regulatory deposits. Liquidity ratio refers to liquid assets as a percentage of total assets.</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SAFE HARBOR STATEMENT</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caps w:val="false"/>
          <w:smallCaps w:val="false"/>
          <w:sz w:val="20"/>
          <w:bdr w:val="single" w:sz="8" w:space="5" w:color="000000"/>
        </w:rPr>
      </w:pPr>
      <w:r>
        <w:rPr>
          <w:rFonts w:ascii="Times New Roman;Times;Serif" w:hAnsi="Times New Roman;Times;Serif"/>
          <w:b w:val="false"/>
          <w:i/>
          <w:caps w:val="false"/>
          <w:smallCaps w:val="false"/>
          <w:sz w:val="20"/>
          <w:bdr w:val="single" w:sz="8" w:space="5" w:color="000000"/>
        </w:rPr>
        <w:t>This press release contains forward-looking statements of expected future developments. The Bank wishes to ensure that such statements are accompanied by meaningful cautionary statements pursuant to the safe harbor established by the Private Securities Litigation Reform Act of 1995. The forward-looking statements in this press release refer to the growth of the credit portfolio, including the trade portfolio, the increase in the number of the Bank’s corporate clients, the positive trend of lending spreads, the increase in activities engaged in by the Bank that are derived from the Bank’s client base, anticipated operating income and return on equity in future periods, including income derived from the Treasury Division, the improvement in the financial and performance strength of the Bank and the progress the Bank is making. These forward-looking statements reflect the expectations of the Bank’s management and are based on currently available data; however, actual experience with respect to these factors is subject to future events and uncertainties, which could materially impact the Bank’s expectations. Among the factors that can cause actual performance and results to differ materially are as follows: the anticipated growth of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credit losses; the need for additional provisions for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w:t>
      </w:r>
    </w:p>
    <w:p>
      <w:pPr>
        <w:pStyle w:val="TextBody"/>
        <w:spacing w:before="0" w:after="0"/>
        <w:ind w:left="0" w:right="0" w:hanging="0"/>
        <w:jc w:val="both"/>
        <w:rPr>
          <w:caps w:val="false"/>
          <w:smallCaps w:val="false"/>
        </w:rPr>
      </w:pPr>
      <w:r>
        <w:rPr>
          <w:caps w:val="false"/>
          <w:smallCaps w:val="false"/>
        </w:rPr>
        <w:t> </w:t>
      </w:r>
    </w:p>
    <w:tbl>
      <w:tblPr>
        <w:tblW w:w="170" w:type="dxa"/>
        <w:jc w:val="left"/>
        <w:tblInd w:w="0" w:type="dxa"/>
        <w:tblCellMar>
          <w:top w:w="0" w:type="dxa"/>
          <w:left w:w="0" w:type="dxa"/>
          <w:bottom w:w="0" w:type="dxa"/>
          <w:right w:w="0" w:type="dxa"/>
        </w:tblCellMar>
      </w:tblPr>
      <w:tblGrid>
        <w:gridCol w:w="170"/>
      </w:tblGrid>
      <w:tr>
        <w:trPr/>
        <w:tc>
          <w:tcPr>
            <w:tcW w:w="170" w:type="dxa"/>
            <w:tcBorders/>
            <w:shd w:fill="auto" w:val="clear"/>
            <w:vAlign w:val="center"/>
          </w:tcPr>
          <w:p>
            <w:pPr>
              <w:pStyle w:val="TableContents"/>
              <w:spacing w:before="0" w:after="283"/>
              <w:jc w:val="right"/>
              <w:rPr/>
            </w:pPr>
            <w:r>
              <w:rPr/>
              <w:t>4</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About Bladex</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is a Panama-based supranational bank established by the central banks of Latin-American and Caribbean countries, to promote foreign trade finance and economic integration in the Region. Bladex is listed on the NYSE-Euronext in the United States (ticker symbol: BLX). In 2014, Bladex is celebrating the 35th anniversary of commencement of operations.</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Bladex´s shareholders include central banks, state-owned banks and entities representing 23 Latin American countries, as well as commercial banks and financial institutions, institutional and retail investors through its public listing.</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has offices in Argentina, Brazil, Colombia, Mexico, Panama, Peru, and the United States of America, to support the expansion and servicing of its client base, which includes financial institutions and corporations. Through September 30, 2014, Bladex had disbursed accumulated credits of approximately $216 billion.</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Conference Call Information</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There will be a conference call to discuss the Bank’s quarterly results on Thursday, October 16, 2014 at 11:00 a.m. New York City time (Eastern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http://www.bladex.com. The webcast presentation is available for viewing and downloads on http://www.bladex.com.</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conference call will become available for review on Conference Replay one hour after its conclusion, and will remain available for 60 days. Please dial (877) 919-4059 or (334) 323-0140, and follow the instructions.  The replay passcode is: 94622267.</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more information, please access http://www.bladex.com or contact:</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Mr. Christopher Schech</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Chief Financial Officer</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Piso 5</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Avenida La Rotonda</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Urbanización Costa del Este</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Panama</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Tel: +507 210-8630</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E-mail address: </w:t>
      </w:r>
      <w:r>
        <w:rPr>
          <w:rFonts w:ascii="Times New Roman;Times;Serif" w:hAnsi="Times New Roman;Times;Serif"/>
          <w:b w:val="false"/>
          <w:i w:val="false"/>
          <w:caps w:val="false"/>
          <w:smallCaps w:val="false"/>
          <w:sz w:val="20"/>
          <w:u w:val="single"/>
        </w:rPr>
        <w:t>cschech@bladex.com</w:t>
      </w:r>
    </w:p>
    <w:p>
      <w:pPr>
        <w:pStyle w:val="TextBody"/>
        <w:spacing w:before="0" w:after="0"/>
        <w:ind w:left="0" w:right="0" w:hanging="0"/>
        <w:jc w:val="both"/>
        <w:rPr>
          <w:caps w:val="false"/>
          <w:smallCaps w:val="false"/>
        </w:rPr>
      </w:pPr>
      <w:r>
        <w:rPr>
          <w:caps w:val="false"/>
          <w:smallCaps w:val="false"/>
        </w:rPr>
        <w:t> </w:t>
      </w:r>
    </w:p>
    <w:tbl>
      <w:tblPr>
        <w:tblW w:w="170" w:type="dxa"/>
        <w:jc w:val="left"/>
        <w:tblInd w:w="0" w:type="dxa"/>
        <w:tblCellMar>
          <w:top w:w="0" w:type="dxa"/>
          <w:left w:w="0" w:type="dxa"/>
          <w:bottom w:w="0" w:type="dxa"/>
          <w:right w:w="0" w:type="dxa"/>
        </w:tblCellMar>
      </w:tblPr>
      <w:tblGrid>
        <w:gridCol w:w="170"/>
      </w:tblGrid>
      <w:tr>
        <w:trPr/>
        <w:tc>
          <w:tcPr>
            <w:tcW w:w="170" w:type="dxa"/>
            <w:tcBorders/>
            <w:shd w:fill="auto" w:val="clear"/>
            <w:vAlign w:val="center"/>
          </w:tcPr>
          <w:p>
            <w:pPr>
              <w:pStyle w:val="TableContents"/>
              <w:spacing w:before="0" w:after="283"/>
              <w:jc w:val="right"/>
              <w:rPr/>
            </w:pPr>
            <w:r>
              <w:rPr/>
              <w:t>5</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both"/>
        <w:rPr>
          <w:caps w:val="false"/>
          <w:smallCaps w:val="false"/>
        </w:rPr>
      </w:pPr>
      <w:r>
        <w:rPr>
          <w:caps w:val="false"/>
          <w:smallCaps w:val="false"/>
        </w:rPr>
        <w:t> </w:t>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 w:name="Wingdings">
    <w:charset w:val="00"/>
    <w:family w:val="auto"/>
    <w:pitch w:val="default"/>
  </w:font>
  <w:font w:name="Symbol">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2</Pages>
  <Words>2470</Words>
  <CharactersWithSpaces>15474</CharactersWithSpaces>
  <Paragraphs>669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